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2" w:rsidRDefault="00C35032" w:rsidP="002964F4">
      <w:pPr>
        <w:spacing w:line="320" w:lineRule="exact"/>
        <w:jc w:val="both"/>
        <w:rPr>
          <w:b/>
          <w:bCs/>
        </w:rPr>
      </w:pPr>
      <w:r>
        <w:rPr>
          <w:b/>
          <w:bCs/>
        </w:rPr>
        <w:t>Příloha č. 1: VZOROVÁ LICENČNÍ SMLOUVA podle čl. III. oddíl A bod b) rámcové dohody o spolupráci na rok 2010</w:t>
      </w:r>
    </w:p>
    <w:p w:rsidR="00C35032" w:rsidRDefault="00C35032" w:rsidP="002964F4">
      <w:pPr>
        <w:spacing w:line="320" w:lineRule="exact"/>
        <w:jc w:val="both"/>
        <w:rPr>
          <w:b/>
          <w:bCs/>
        </w:rPr>
      </w:pPr>
    </w:p>
    <w:p w:rsidR="002964F4" w:rsidRPr="001A6C57" w:rsidRDefault="002964F4" w:rsidP="002964F4">
      <w:pPr>
        <w:spacing w:line="320" w:lineRule="exact"/>
        <w:jc w:val="both"/>
        <w:rPr>
          <w:b/>
        </w:rPr>
      </w:pPr>
      <w:r w:rsidRPr="001A6C57">
        <w:rPr>
          <w:b/>
          <w:bCs/>
        </w:rPr>
        <w:t>OSA</w:t>
      </w:r>
      <w:r w:rsidRPr="001A6C57">
        <w:rPr>
          <w:b/>
        </w:rPr>
        <w:t xml:space="preserve"> – Ochranný svaz autorský pro práva k dílům hudebním, o.s.</w:t>
      </w:r>
    </w:p>
    <w:p w:rsidR="002964F4" w:rsidRPr="001A6C57" w:rsidRDefault="002964F4" w:rsidP="002964F4">
      <w:pPr>
        <w:spacing w:line="320" w:lineRule="exact"/>
        <w:jc w:val="both"/>
      </w:pPr>
      <w:r w:rsidRPr="001A6C57">
        <w:t>se sídlem v Praze 6, Československé armády 20, PSČ: 160 56</w:t>
      </w:r>
    </w:p>
    <w:p w:rsidR="002964F4" w:rsidRPr="001A6C57" w:rsidRDefault="002964F4" w:rsidP="002964F4">
      <w:pPr>
        <w:spacing w:line="320" w:lineRule="exact"/>
        <w:jc w:val="both"/>
      </w:pPr>
      <w:r w:rsidRPr="001A6C57">
        <w:t>IČ: 63839997, DIČ: CZ63839997</w:t>
      </w:r>
      <w:r w:rsidRPr="001A6C57">
        <w:tab/>
      </w:r>
      <w:r w:rsidRPr="001A6C57">
        <w:tab/>
      </w:r>
      <w:r w:rsidRPr="001A6C57">
        <w:tab/>
      </w:r>
      <w:r w:rsidRPr="001A6C57">
        <w:tab/>
      </w:r>
      <w:r w:rsidRPr="001A6C57">
        <w:tab/>
      </w:r>
      <w:r w:rsidRPr="001A6C57">
        <w:tab/>
      </w:r>
      <w:r w:rsidRPr="001A6C57">
        <w:tab/>
        <w:t xml:space="preserve"> </w:t>
      </w:r>
    </w:p>
    <w:p w:rsidR="002964F4" w:rsidRPr="001A6C57" w:rsidRDefault="002964F4" w:rsidP="002964F4">
      <w:pPr>
        <w:jc w:val="both"/>
      </w:pPr>
      <w:r w:rsidRPr="001A6C57">
        <w:t xml:space="preserve">registrovaný MV ČR ze dne 22. 1. 1996 č.j.: II/s-OS/1-29 038/96-R  </w:t>
      </w:r>
    </w:p>
    <w:p w:rsidR="002964F4" w:rsidRPr="001A6C57" w:rsidRDefault="002964F4" w:rsidP="002964F4">
      <w:pPr>
        <w:spacing w:line="320" w:lineRule="exact"/>
        <w:jc w:val="both"/>
      </w:pPr>
      <w:r w:rsidRPr="001A6C57">
        <w:t xml:space="preserve">bankovní spojení:  KB Praha 6, č.ú.: </w:t>
      </w:r>
      <w:r w:rsidR="00C4124A">
        <w:t>19-</w:t>
      </w:r>
      <w:r w:rsidRPr="001A6C57">
        <w:t>235061/0100</w:t>
      </w:r>
    </w:p>
    <w:p w:rsidR="002964F4" w:rsidRPr="001A6C57" w:rsidRDefault="002964F4" w:rsidP="002964F4">
      <w:pPr>
        <w:spacing w:line="320" w:lineRule="exact"/>
        <w:jc w:val="both"/>
      </w:pPr>
      <w:r w:rsidRPr="001A6C57">
        <w:t xml:space="preserve">zastoupený </w:t>
      </w:r>
      <w:r w:rsidR="00297ADC" w:rsidRPr="001A6C57">
        <w:t>Vladimírou Fábikovou</w:t>
      </w:r>
      <w:r w:rsidRPr="001A6C57">
        <w:t>, vedouc</w:t>
      </w:r>
      <w:r w:rsidR="00297ADC" w:rsidRPr="001A6C57">
        <w:t>í</w:t>
      </w:r>
      <w:r w:rsidRPr="001A6C57">
        <w:t xml:space="preserve"> odboru </w:t>
      </w:r>
      <w:r w:rsidR="00297ADC" w:rsidRPr="001A6C57">
        <w:t>veřejného provozování</w:t>
      </w:r>
      <w:r w:rsidRPr="001A6C57">
        <w:t xml:space="preserve">  </w:t>
      </w:r>
    </w:p>
    <w:p w:rsidR="002964F4" w:rsidRPr="001A6C57" w:rsidRDefault="002964F4" w:rsidP="002964F4">
      <w:pPr>
        <w:spacing w:line="320" w:lineRule="exact"/>
        <w:jc w:val="both"/>
        <w:rPr>
          <w:b/>
        </w:rPr>
      </w:pPr>
      <w:r w:rsidRPr="001A6C57">
        <w:rPr>
          <w:b/>
        </w:rPr>
        <w:t>(</w:t>
      </w:r>
      <w:r w:rsidRPr="001A6C57">
        <w:rPr>
          <w:b/>
          <w:iCs/>
        </w:rPr>
        <w:t>dále jen „OSA“</w:t>
      </w:r>
      <w:r w:rsidRPr="001A6C57">
        <w:rPr>
          <w:b/>
        </w:rPr>
        <w:t>)</w:t>
      </w:r>
    </w:p>
    <w:p w:rsidR="001134BA" w:rsidRPr="001A6C57" w:rsidRDefault="001134BA"/>
    <w:p w:rsidR="001134BA" w:rsidRPr="001A6C57" w:rsidRDefault="001134BA">
      <w:r w:rsidRPr="001A6C57">
        <w:t>a</w:t>
      </w:r>
    </w:p>
    <w:p w:rsidR="001134BA" w:rsidRPr="001A6C57" w:rsidRDefault="001134BA">
      <w:pPr>
        <w:pStyle w:val="Zkladntext2"/>
        <w:rPr>
          <w:bCs/>
        </w:rPr>
      </w:pPr>
    </w:p>
    <w:p w:rsidR="0021126D" w:rsidRPr="001A6C57" w:rsidRDefault="0021126D" w:rsidP="0021126D">
      <w:pPr>
        <w:pStyle w:val="Zkladntext2"/>
        <w:rPr>
          <w:bCs/>
        </w:rPr>
      </w:pPr>
      <w:r w:rsidRPr="001A6C57">
        <w:rPr>
          <w:bCs/>
        </w:rPr>
        <w:t xml:space="preserve">provozovatel: </w:t>
      </w:r>
      <w:r w:rsidR="000364AF" w:rsidRPr="001A6C57">
        <w:rPr>
          <w:bCs/>
        </w:rPr>
        <w:t xml:space="preserve">           </w:t>
      </w:r>
    </w:p>
    <w:p w:rsidR="0021126D" w:rsidRPr="001A6C57" w:rsidRDefault="0021126D" w:rsidP="0021126D">
      <w:r w:rsidRPr="001A6C57">
        <w:t xml:space="preserve">se sídlem </w:t>
      </w:r>
      <w:r w:rsidR="000364AF" w:rsidRPr="001A6C57">
        <w:t xml:space="preserve">                    </w:t>
      </w:r>
    </w:p>
    <w:p w:rsidR="0021126D" w:rsidRPr="001A6C57" w:rsidRDefault="0021126D" w:rsidP="0021126D">
      <w:r w:rsidRPr="001A6C57">
        <w:t xml:space="preserve">zastoupený </w:t>
      </w:r>
      <w:r w:rsidR="000364AF" w:rsidRPr="001A6C57">
        <w:t xml:space="preserve">                  </w:t>
      </w:r>
    </w:p>
    <w:p w:rsidR="0021126D" w:rsidRPr="001A6C57" w:rsidRDefault="0021126D" w:rsidP="0021126D">
      <w:r w:rsidRPr="001A6C57">
        <w:t>IČ:</w:t>
      </w:r>
      <w:r w:rsidRPr="001A6C57">
        <w:tab/>
      </w:r>
      <w:r w:rsidRPr="001A6C57">
        <w:tab/>
      </w:r>
      <w:r w:rsidR="000364AF" w:rsidRPr="001A6C57">
        <w:t xml:space="preserve">            </w:t>
      </w:r>
    </w:p>
    <w:p w:rsidR="0021126D" w:rsidRPr="001A6C57" w:rsidRDefault="0021126D" w:rsidP="0021126D">
      <w:r w:rsidRPr="001A6C57">
        <w:t>DIČ:</w:t>
      </w:r>
      <w:r w:rsidR="000364AF" w:rsidRPr="001A6C57">
        <w:t xml:space="preserve">                            </w:t>
      </w:r>
      <w:r w:rsidR="000364AF" w:rsidRPr="001A6C57">
        <w:fldChar w:fldCharType="begin"/>
      </w:r>
      <w:r w:rsidR="000364AF" w:rsidRPr="001A6C57">
        <w:instrText xml:space="preserve"> MERGEFIELD "DIC" </w:instrText>
      </w:r>
      <w:r w:rsidR="000364AF" w:rsidRPr="001A6C57">
        <w:fldChar w:fldCharType="end"/>
      </w:r>
    </w:p>
    <w:p w:rsidR="0021126D" w:rsidRPr="001A6C57" w:rsidRDefault="0021126D" w:rsidP="0021126D">
      <w:r w:rsidRPr="001A6C57">
        <w:t>zapsaný</w:t>
      </w:r>
    </w:p>
    <w:p w:rsidR="0021126D" w:rsidRPr="001A6C57" w:rsidRDefault="0021126D" w:rsidP="0021126D">
      <w:r w:rsidRPr="001A6C57">
        <w:t>bankovní spojení:</w:t>
      </w:r>
    </w:p>
    <w:p w:rsidR="0021126D" w:rsidRPr="001A6C57" w:rsidRDefault="0021126D" w:rsidP="0021126D">
      <w:r w:rsidRPr="001A6C57">
        <w:t xml:space="preserve">telefon: </w:t>
      </w:r>
    </w:p>
    <w:p w:rsidR="0021126D" w:rsidRPr="001A6C57" w:rsidRDefault="0021126D" w:rsidP="0021126D">
      <w:r w:rsidRPr="001A6C57">
        <w:t>e-mail:</w:t>
      </w:r>
      <w:r w:rsidR="000364AF" w:rsidRPr="001A6C57">
        <w:t xml:space="preserve">                        </w:t>
      </w:r>
    </w:p>
    <w:p w:rsidR="0021126D" w:rsidRPr="001A6C57" w:rsidRDefault="0021126D" w:rsidP="0021126D">
      <w:r w:rsidRPr="001A6C57">
        <w:t xml:space="preserve">kontaktní adresa: </w:t>
      </w:r>
      <w:r w:rsidR="000364AF" w:rsidRPr="001A6C57">
        <w:t xml:space="preserve">       </w:t>
      </w:r>
      <w:r w:rsidR="000364AF" w:rsidRPr="001A6C57">
        <w:fldChar w:fldCharType="begin"/>
      </w:r>
      <w:r w:rsidR="000364AF" w:rsidRPr="001A6C57">
        <w:instrText xml:space="preserve"> MERGEFIELD "fa_firma" </w:instrText>
      </w:r>
      <w:r w:rsidR="000364AF" w:rsidRPr="001A6C57">
        <w:fldChar w:fldCharType="end"/>
      </w:r>
      <w:r w:rsidR="000364AF" w:rsidRPr="001A6C57">
        <w:fldChar w:fldCharType="begin"/>
      </w:r>
      <w:r w:rsidR="000364AF" w:rsidRPr="001A6C57">
        <w:instrText xml:space="preserve"> MERGEFIELD "fa_mesto" </w:instrText>
      </w:r>
      <w:r w:rsidR="000364AF" w:rsidRPr="001A6C57">
        <w:fldChar w:fldCharType="end"/>
      </w:r>
    </w:p>
    <w:p w:rsidR="0021126D" w:rsidRPr="001A6C57" w:rsidRDefault="0021126D" w:rsidP="0021126D">
      <w:r w:rsidRPr="001A6C57">
        <w:t xml:space="preserve">( </w:t>
      </w:r>
      <w:r w:rsidRPr="001A6C57">
        <w:rPr>
          <w:b/>
          <w:bCs/>
        </w:rPr>
        <w:t>dále jen „provozovatel“</w:t>
      </w:r>
      <w:r w:rsidRPr="001A6C57">
        <w:t xml:space="preserve"> )</w:t>
      </w:r>
    </w:p>
    <w:p w:rsidR="001134BA" w:rsidRPr="001A6C57" w:rsidRDefault="001134BA">
      <w:pPr>
        <w:pStyle w:val="PlainText"/>
        <w:jc w:val="both"/>
        <w:rPr>
          <w:rFonts w:ascii="Times New Roman" w:hAnsi="Times New Roman"/>
          <w:sz w:val="26"/>
        </w:rPr>
      </w:pPr>
    </w:p>
    <w:p w:rsidR="001134BA" w:rsidRPr="001A6C57" w:rsidRDefault="0020481F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A6C57">
        <w:rPr>
          <w:rFonts w:ascii="Times New Roman" w:hAnsi="Times New Roman"/>
          <w:sz w:val="24"/>
          <w:szCs w:val="24"/>
        </w:rPr>
        <w:t xml:space="preserve"> </w:t>
      </w:r>
      <w:r w:rsidR="001134BA" w:rsidRPr="001A6C57">
        <w:rPr>
          <w:rFonts w:ascii="Times New Roman" w:hAnsi="Times New Roman"/>
          <w:sz w:val="24"/>
          <w:szCs w:val="24"/>
        </w:rPr>
        <w:t>uzavírají tuto</w:t>
      </w:r>
    </w:p>
    <w:p w:rsidR="00346F44" w:rsidRPr="001A6C57" w:rsidRDefault="00346F44" w:rsidP="0020481F">
      <w:pPr>
        <w:pStyle w:val="PlainText"/>
        <w:rPr>
          <w:rFonts w:ascii="Times New Roman" w:hAnsi="Times New Roman"/>
          <w:b/>
          <w:sz w:val="28"/>
        </w:rPr>
      </w:pP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8"/>
        </w:rPr>
      </w:pPr>
      <w:r w:rsidRPr="001A6C57">
        <w:rPr>
          <w:rFonts w:ascii="Times New Roman" w:hAnsi="Times New Roman"/>
          <w:b/>
          <w:sz w:val="28"/>
        </w:rPr>
        <w:t>h  r  o  m  a  d  n  o  u      l   i   c   e   n   č   n   í      s   m   l   o   u   v   u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8"/>
        </w:rPr>
      </w:pPr>
      <w:r w:rsidRPr="001A6C57">
        <w:rPr>
          <w:rFonts w:ascii="Times New Roman" w:hAnsi="Times New Roman"/>
          <w:b/>
          <w:sz w:val="28"/>
        </w:rPr>
        <w:t xml:space="preserve">o užití hudebních děl s textem i bez textu </w:t>
      </w:r>
      <w:r w:rsidRPr="001A6C57">
        <w:rPr>
          <w:rFonts w:ascii="Times New Roman" w:hAnsi="Times New Roman"/>
          <w:b/>
          <w:sz w:val="28"/>
        </w:rPr>
        <w:br/>
        <w:t xml:space="preserve">při promítání audiovizuálních děl v kinech 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2"/>
        </w:rPr>
      </w:pP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</w:rPr>
      </w:pPr>
      <w:r w:rsidRPr="001A6C57">
        <w:rPr>
          <w:rFonts w:ascii="Times New Roman" w:hAnsi="Times New Roman"/>
          <w:b/>
          <w:sz w:val="24"/>
        </w:rPr>
        <w:t>I.</w:t>
      </w:r>
    </w:p>
    <w:p w:rsidR="001134BA" w:rsidRPr="001A6C57" w:rsidRDefault="001134BA">
      <w:pPr>
        <w:pStyle w:val="PlainText"/>
        <w:tabs>
          <w:tab w:val="left" w:pos="8505"/>
        </w:tabs>
        <w:jc w:val="center"/>
        <w:rPr>
          <w:rFonts w:ascii="Times New Roman" w:hAnsi="Times New Roman"/>
          <w:b/>
          <w:sz w:val="24"/>
          <w:u w:val="single"/>
        </w:rPr>
      </w:pPr>
      <w:r w:rsidRPr="001A6C57">
        <w:rPr>
          <w:rFonts w:ascii="Times New Roman" w:hAnsi="Times New Roman"/>
          <w:b/>
          <w:sz w:val="24"/>
          <w:u w:val="single"/>
        </w:rPr>
        <w:t>Předmět smlouvy</w:t>
      </w:r>
    </w:p>
    <w:p w:rsidR="001134BA" w:rsidRPr="001A6C57" w:rsidRDefault="001134BA">
      <w:pPr>
        <w:pStyle w:val="PlainText"/>
        <w:tabs>
          <w:tab w:val="left" w:pos="8505"/>
        </w:tabs>
        <w:jc w:val="center"/>
        <w:rPr>
          <w:rFonts w:ascii="Times New Roman" w:hAnsi="Times New Roman"/>
          <w:b/>
          <w:sz w:val="24"/>
          <w:u w:val="single"/>
        </w:rPr>
      </w:pPr>
    </w:p>
    <w:p w:rsidR="001134BA" w:rsidRPr="001A6C57" w:rsidRDefault="001134BA" w:rsidP="00656C38">
      <w:pPr>
        <w:pStyle w:val="PlainText"/>
        <w:numPr>
          <w:ilvl w:val="0"/>
          <w:numId w:val="1"/>
        </w:numPr>
        <w:ind w:left="567" w:right="72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Tato smlouva upravuje vzájemné vztahy mezi OSA a provozovatelem při užití hudebních děl s textem nebo bez textu (dále jen „repertoár OSA“) při jejich sdělování veřejnosti v souvislosti s komerčním promítáním audiovizuálních děl v kinech či jiných objektech, kde se pravidelně uskutečňuje promítání audiovizuálních děl.</w:t>
      </w:r>
    </w:p>
    <w:p w:rsidR="001134BA" w:rsidRPr="001A6C57" w:rsidRDefault="001134BA" w:rsidP="00656C38">
      <w:pPr>
        <w:pStyle w:val="PlainText"/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OSA je na základě:</w:t>
      </w:r>
    </w:p>
    <w:p w:rsidR="00B165E3" w:rsidRDefault="001134BA" w:rsidP="00495971">
      <w:pPr>
        <w:pStyle w:val="PlainText"/>
        <w:numPr>
          <w:ilvl w:val="1"/>
          <w:numId w:val="14"/>
        </w:numPr>
        <w:tabs>
          <w:tab w:val="clear" w:pos="1440"/>
          <w:tab w:val="num" w:pos="1276"/>
        </w:tabs>
        <w:ind w:left="1276" w:hanging="283"/>
        <w:jc w:val="both"/>
        <w:rPr>
          <w:rFonts w:ascii="Times New Roman" w:hAnsi="Times New Roman"/>
          <w:sz w:val="24"/>
        </w:rPr>
      </w:pPr>
      <w:r w:rsidRPr="00B165E3">
        <w:rPr>
          <w:rFonts w:ascii="Times New Roman" w:hAnsi="Times New Roman"/>
          <w:sz w:val="24"/>
        </w:rPr>
        <w:t>smluv o zastupování autorských majetkových práv uzavřených s </w:t>
      </w:r>
      <w:r w:rsidR="00761B35" w:rsidRPr="00B165E3">
        <w:rPr>
          <w:rFonts w:ascii="Times New Roman" w:hAnsi="Times New Roman"/>
          <w:sz w:val="24"/>
        </w:rPr>
        <w:t xml:space="preserve"> </w:t>
      </w:r>
      <w:r w:rsidRPr="00B165E3">
        <w:rPr>
          <w:rFonts w:ascii="Times New Roman" w:hAnsi="Times New Roman"/>
          <w:sz w:val="24"/>
        </w:rPr>
        <w:t xml:space="preserve">autory </w:t>
      </w:r>
      <w:r w:rsidR="00761B35" w:rsidRPr="00B165E3">
        <w:rPr>
          <w:rFonts w:ascii="Times New Roman" w:hAnsi="Times New Roman"/>
          <w:sz w:val="24"/>
        </w:rPr>
        <w:t xml:space="preserve"> </w:t>
      </w:r>
      <w:r w:rsidRPr="00B165E3">
        <w:rPr>
          <w:rFonts w:ascii="Times New Roman" w:hAnsi="Times New Roman"/>
          <w:sz w:val="24"/>
        </w:rPr>
        <w:t xml:space="preserve"> hudebních děl s textem i bez textu</w:t>
      </w:r>
      <w:r w:rsidR="00761B35" w:rsidRPr="00B165E3">
        <w:rPr>
          <w:rFonts w:ascii="Times New Roman" w:hAnsi="Times New Roman"/>
          <w:sz w:val="24"/>
        </w:rPr>
        <w:t xml:space="preserve">  </w:t>
      </w:r>
      <w:r w:rsidRPr="00B165E3">
        <w:rPr>
          <w:rFonts w:ascii="Times New Roman" w:hAnsi="Times New Roman"/>
          <w:sz w:val="24"/>
        </w:rPr>
        <w:t>a dalšími nositeli autorských majetkových práv uvedených v § 95 z. č. 121/2000 Sb., autorský zákon,</w:t>
      </w:r>
      <w:r w:rsidR="00761B35" w:rsidRPr="00B165E3">
        <w:rPr>
          <w:rFonts w:ascii="Times New Roman" w:hAnsi="Times New Roman"/>
          <w:sz w:val="24"/>
        </w:rPr>
        <w:t xml:space="preserve"> v platném znění (d</w:t>
      </w:r>
      <w:r w:rsidR="00950802" w:rsidRPr="00B165E3">
        <w:rPr>
          <w:rFonts w:ascii="Times New Roman" w:hAnsi="Times New Roman"/>
          <w:sz w:val="24"/>
        </w:rPr>
        <w:t>á</w:t>
      </w:r>
      <w:r w:rsidR="00761B35" w:rsidRPr="00B165E3">
        <w:rPr>
          <w:rFonts w:ascii="Times New Roman" w:hAnsi="Times New Roman"/>
          <w:sz w:val="24"/>
        </w:rPr>
        <w:t>le jen AZ)</w:t>
      </w:r>
    </w:p>
    <w:p w:rsidR="001134BA" w:rsidRPr="00B165E3" w:rsidRDefault="001134BA" w:rsidP="00495971">
      <w:pPr>
        <w:pStyle w:val="PlainText"/>
        <w:numPr>
          <w:ilvl w:val="1"/>
          <w:numId w:val="14"/>
        </w:numPr>
        <w:tabs>
          <w:tab w:val="clear" w:pos="1440"/>
          <w:tab w:val="num" w:pos="1276"/>
        </w:tabs>
        <w:ind w:left="1276" w:hanging="283"/>
        <w:jc w:val="both"/>
        <w:rPr>
          <w:rFonts w:ascii="Times New Roman" w:hAnsi="Times New Roman"/>
          <w:sz w:val="24"/>
        </w:rPr>
      </w:pPr>
      <w:r w:rsidRPr="00B165E3">
        <w:rPr>
          <w:rFonts w:ascii="Times New Roman" w:hAnsi="Times New Roman"/>
          <w:sz w:val="24"/>
        </w:rPr>
        <w:t xml:space="preserve">smluv se zahraničními </w:t>
      </w:r>
      <w:r w:rsidR="00761B35" w:rsidRPr="00B165E3">
        <w:rPr>
          <w:rFonts w:ascii="Times New Roman" w:hAnsi="Times New Roman"/>
          <w:sz w:val="24"/>
        </w:rPr>
        <w:t xml:space="preserve">kolektivními správci </w:t>
      </w:r>
      <w:r w:rsidRPr="00B165E3">
        <w:rPr>
          <w:rFonts w:ascii="Times New Roman" w:hAnsi="Times New Roman"/>
          <w:sz w:val="24"/>
        </w:rPr>
        <w:t xml:space="preserve"> o zastupování a ochraně autorských práv </w:t>
      </w:r>
      <w:r w:rsidR="00761B35" w:rsidRPr="00B165E3">
        <w:rPr>
          <w:rFonts w:ascii="Times New Roman" w:hAnsi="Times New Roman"/>
          <w:sz w:val="24"/>
        </w:rPr>
        <w:t xml:space="preserve"> </w:t>
      </w:r>
      <w:r w:rsidRPr="00B165E3">
        <w:rPr>
          <w:rFonts w:ascii="Times New Roman" w:hAnsi="Times New Roman"/>
          <w:sz w:val="24"/>
        </w:rPr>
        <w:t xml:space="preserve">autorů hudebních děl a </w:t>
      </w:r>
    </w:p>
    <w:p w:rsidR="00B165E3" w:rsidRDefault="001134BA" w:rsidP="00495971">
      <w:pPr>
        <w:pStyle w:val="PlainText"/>
        <w:numPr>
          <w:ilvl w:val="1"/>
          <w:numId w:val="14"/>
        </w:numPr>
        <w:tabs>
          <w:tab w:val="clear" w:pos="1440"/>
          <w:tab w:val="num" w:pos="1276"/>
        </w:tabs>
        <w:ind w:left="1276" w:hanging="283"/>
        <w:jc w:val="both"/>
        <w:rPr>
          <w:rFonts w:ascii="Times New Roman" w:hAnsi="Times New Roman"/>
          <w:sz w:val="24"/>
        </w:rPr>
      </w:pPr>
      <w:r w:rsidRPr="00B165E3">
        <w:rPr>
          <w:rFonts w:ascii="Times New Roman" w:hAnsi="Times New Roman"/>
          <w:sz w:val="24"/>
        </w:rPr>
        <w:t xml:space="preserve">rozhodnutí Ministerstva kultury č.j. 4449/2001 ze dne 28.2.2001 o udělení oprávnění k výkonu hromadné správy podle ustanovení § 98 </w:t>
      </w:r>
      <w:r w:rsidR="00761B35" w:rsidRPr="00B165E3">
        <w:rPr>
          <w:rFonts w:ascii="Times New Roman" w:hAnsi="Times New Roman"/>
          <w:sz w:val="24"/>
        </w:rPr>
        <w:t xml:space="preserve">AZ </w:t>
      </w:r>
    </w:p>
    <w:p w:rsidR="001134BA" w:rsidRPr="00B165E3" w:rsidRDefault="001134BA" w:rsidP="00B165E3">
      <w:pPr>
        <w:pStyle w:val="PlainText"/>
        <w:tabs>
          <w:tab w:val="num" w:pos="1276"/>
        </w:tabs>
        <w:ind w:left="567"/>
        <w:jc w:val="both"/>
        <w:rPr>
          <w:rFonts w:ascii="Times New Roman" w:hAnsi="Times New Roman"/>
          <w:sz w:val="24"/>
        </w:rPr>
      </w:pPr>
      <w:r w:rsidRPr="00B165E3">
        <w:rPr>
          <w:rFonts w:ascii="Times New Roman" w:hAnsi="Times New Roman"/>
          <w:sz w:val="24"/>
        </w:rPr>
        <w:t xml:space="preserve">oprávněn poskytnout oprávnění k výkonu práva dílo užít, jde-li o zveřejněná nebo k zveřejnění nabídnutá (dle § 95 odst. 2 AZ) hudební díla s textem i bez textu zastupovaných autorů nebo jiných zastupovaných nositelů autorských majetkových </w:t>
      </w:r>
      <w:r w:rsidRPr="00B165E3">
        <w:rPr>
          <w:rFonts w:ascii="Times New Roman" w:hAnsi="Times New Roman"/>
          <w:sz w:val="24"/>
        </w:rPr>
        <w:lastRenderedPageBreak/>
        <w:t xml:space="preserve">práv. Za udělení tohoto oprávnění je OSA oprávněn vlastním jménem inkasovat a vymáhat autorské odměny a podle rozúčtovacího řádu OSA je rozdělovat zastupovaným autorům a dalším nositelům autorských majetkových práv. </w:t>
      </w:r>
    </w:p>
    <w:p w:rsidR="001134BA" w:rsidRPr="001A6C57" w:rsidRDefault="001134BA" w:rsidP="00656C38">
      <w:pPr>
        <w:pStyle w:val="PlainText"/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Audiovizuálním dílem je  v souladu s autorským zákonem dílo vytvořené uspořádáním děl audiovizuálně užitých, ať již zpracovaných, či nezpracovaných, které sestává z řady zaznamenaných spolu souvisejících obrazů, vyvolávajících dojem pohybu, ať již doprovázených zvukem, či nikoli, vnímatelných zrakem, a jsou-li doprovázeny zvukem, vnímatelných i sluchem.</w:t>
      </w:r>
    </w:p>
    <w:p w:rsidR="001134BA" w:rsidRPr="001A6C57" w:rsidRDefault="001134BA" w:rsidP="00656C38">
      <w:pPr>
        <w:pStyle w:val="PlainText"/>
        <w:tabs>
          <w:tab w:val="num" w:pos="540"/>
        </w:tabs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 xml:space="preserve">Promítáním audiovizuálního díla se rozumí </w:t>
      </w:r>
      <w:r w:rsidR="00761B35" w:rsidRPr="001A6C57">
        <w:rPr>
          <w:rFonts w:ascii="Times New Roman" w:hAnsi="Times New Roman"/>
          <w:sz w:val="24"/>
        </w:rPr>
        <w:t xml:space="preserve">sdělování </w:t>
      </w:r>
      <w:r w:rsidRPr="001A6C57">
        <w:rPr>
          <w:rFonts w:ascii="Times New Roman" w:hAnsi="Times New Roman"/>
          <w:sz w:val="24"/>
        </w:rPr>
        <w:t xml:space="preserve"> tohoto díla v kinech či jiných (i otevřených) prostorách umožňujících uvedení audiovizuálního díla za účelem zpřístupnění audiovizuálního díla veřejnosti (pro účely této smlouvy dále jen „kino“)</w:t>
      </w:r>
    </w:p>
    <w:p w:rsidR="001134BA" w:rsidRPr="001A6C57" w:rsidRDefault="001134BA">
      <w:pPr>
        <w:pStyle w:val="PlainText"/>
        <w:ind w:left="180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OSA poskytuje touto smlouvou provozovateli nevýhradní oprávnění k výkonu práva užít repertoáru OSA v objektu kina</w:t>
      </w:r>
      <w:r w:rsidR="00BE1D1B" w:rsidRPr="001A6C57">
        <w:rPr>
          <w:rFonts w:ascii="Times New Roman" w:hAnsi="Times New Roman"/>
          <w:bCs/>
          <w:sz w:val="24"/>
        </w:rPr>
        <w:t xml:space="preserve"> nebo kin </w:t>
      </w:r>
      <w:r w:rsidRPr="001A6C57">
        <w:rPr>
          <w:rFonts w:ascii="Times New Roman" w:hAnsi="Times New Roman"/>
          <w:bCs/>
          <w:sz w:val="24"/>
        </w:rPr>
        <w:t xml:space="preserve"> dle </w:t>
      </w:r>
      <w:r w:rsidRPr="001A6C57">
        <w:rPr>
          <w:rFonts w:ascii="Times New Roman" w:hAnsi="Times New Roman"/>
          <w:b/>
          <w:i/>
          <w:iCs/>
          <w:sz w:val="24"/>
        </w:rPr>
        <w:t xml:space="preserve">Přílohy č. 1 </w:t>
      </w:r>
      <w:r w:rsidRPr="001A6C57">
        <w:rPr>
          <w:rFonts w:ascii="Times New Roman" w:hAnsi="Times New Roman"/>
          <w:bCs/>
          <w:sz w:val="24"/>
        </w:rPr>
        <w:t>způsobem dle § 20 autorského zákona – provozování ze záznamu– v následujících případech:</w:t>
      </w:r>
    </w:p>
    <w:p w:rsidR="001134BA" w:rsidRPr="001A6C57" w:rsidRDefault="001134BA">
      <w:pPr>
        <w:pStyle w:val="PlainText"/>
        <w:numPr>
          <w:ilvl w:val="1"/>
          <w:numId w:val="1"/>
        </w:numPr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při promítání filmů (zvuková stopa zvukového filmu nebo hudební podmalování němého filmu)</w:t>
      </w:r>
    </w:p>
    <w:p w:rsidR="001134BA" w:rsidRPr="001A6C57" w:rsidRDefault="001134BA">
      <w:pPr>
        <w:pStyle w:val="PlainText"/>
        <w:numPr>
          <w:ilvl w:val="1"/>
          <w:numId w:val="1"/>
        </w:numPr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při promítání týdeníků, reklam a trailerů (upoutávek)</w:t>
      </w:r>
    </w:p>
    <w:p w:rsidR="001134BA" w:rsidRPr="001A6C57" w:rsidRDefault="001134BA">
      <w:pPr>
        <w:pStyle w:val="PlainText"/>
        <w:numPr>
          <w:ilvl w:val="1"/>
          <w:numId w:val="1"/>
        </w:numPr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při promítání diapozitivů</w:t>
      </w:r>
    </w:p>
    <w:p w:rsidR="001134BA" w:rsidRPr="001A6C57" w:rsidRDefault="001134BA">
      <w:pPr>
        <w:pStyle w:val="PlainText"/>
        <w:numPr>
          <w:ilvl w:val="1"/>
          <w:numId w:val="1"/>
        </w:numPr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při zahajovacích, jubilejních a obdobných představeních spojených s promítáním audiovizuálního díla</w:t>
      </w:r>
    </w:p>
    <w:p w:rsidR="001134BA" w:rsidRPr="001A6C57" w:rsidRDefault="001134BA">
      <w:pPr>
        <w:pStyle w:val="PlainText"/>
        <w:numPr>
          <w:ilvl w:val="1"/>
          <w:numId w:val="1"/>
        </w:numPr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k vyplnění přestávek i bezprostředně před a po představení</w:t>
      </w:r>
    </w:p>
    <w:p w:rsidR="001134BA" w:rsidRPr="001A6C57" w:rsidRDefault="001134BA">
      <w:pPr>
        <w:pStyle w:val="PlainText"/>
        <w:numPr>
          <w:ilvl w:val="1"/>
          <w:numId w:val="1"/>
        </w:numPr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ve foyer kina a ve všech ostatních prostorách uvnitř objektu kina pod kontrolou provozovatele, s výjimkou těch prostor, které jsou vybaveny sedadly, aby mohly sloužit kavárně nebo jinému typu občerstvení</w:t>
      </w:r>
    </w:p>
    <w:p w:rsidR="001134BA" w:rsidRPr="001A6C57" w:rsidRDefault="001134BA">
      <w:pPr>
        <w:pStyle w:val="PlainText"/>
        <w:rPr>
          <w:rFonts w:ascii="Times New Roman" w:hAnsi="Times New Roman"/>
          <w:bCs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4"/>
        </w:rPr>
      </w:pPr>
      <w:r w:rsidRPr="001A6C57">
        <w:rPr>
          <w:rFonts w:ascii="Times New Roman" w:hAnsi="Times New Roman"/>
          <w:b/>
          <w:bCs/>
          <w:sz w:val="24"/>
        </w:rPr>
        <w:t xml:space="preserve">Tato licence se nevztahuje na ostatní </w:t>
      </w:r>
      <w:r w:rsidR="00D7083A" w:rsidRPr="001A6C57">
        <w:rPr>
          <w:rFonts w:ascii="Times New Roman" w:hAnsi="Times New Roman"/>
          <w:b/>
          <w:bCs/>
          <w:sz w:val="24"/>
        </w:rPr>
        <w:t xml:space="preserve">způsoby </w:t>
      </w:r>
      <w:r w:rsidRPr="001A6C57">
        <w:rPr>
          <w:rFonts w:ascii="Times New Roman" w:hAnsi="Times New Roman"/>
          <w:b/>
          <w:bCs/>
          <w:sz w:val="24"/>
        </w:rPr>
        <w:t xml:space="preserve"> užití repertoáru OSA v kině, zvláště při koncertech, varietních představeních, zábavních večerech a podobných akcích ani při provozování repertoáru OSA prostřednictvím reprodukčních zařízení v kavárně anebo jiném typu občerstvení. </w:t>
      </w:r>
      <w:r w:rsidR="0009062F" w:rsidRPr="001A6C57">
        <w:rPr>
          <w:rFonts w:ascii="Times New Roman" w:hAnsi="Times New Roman"/>
          <w:b/>
          <w:bCs/>
          <w:sz w:val="24"/>
        </w:rPr>
        <w:t xml:space="preserve">Pro vyloučení pochybností smluvní strany shodně konstatují, že licence se nevztahuje </w:t>
      </w:r>
      <w:r w:rsidR="00D127FB" w:rsidRPr="001A6C57">
        <w:rPr>
          <w:rFonts w:ascii="Times New Roman" w:hAnsi="Times New Roman"/>
          <w:b/>
          <w:bCs/>
          <w:sz w:val="24"/>
        </w:rPr>
        <w:t xml:space="preserve"> na </w:t>
      </w:r>
      <w:r w:rsidR="0009062F" w:rsidRPr="001A6C57">
        <w:rPr>
          <w:rFonts w:ascii="Times New Roman" w:hAnsi="Times New Roman"/>
          <w:b/>
          <w:bCs/>
          <w:sz w:val="24"/>
        </w:rPr>
        <w:t xml:space="preserve">promítání </w:t>
      </w:r>
      <w:r w:rsidR="00D127FB" w:rsidRPr="001A6C57">
        <w:rPr>
          <w:rFonts w:ascii="Times New Roman" w:hAnsi="Times New Roman"/>
          <w:b/>
          <w:bCs/>
          <w:sz w:val="24"/>
        </w:rPr>
        <w:t xml:space="preserve"> jakýchkoliv </w:t>
      </w:r>
      <w:r w:rsidR="0009062F" w:rsidRPr="001A6C57">
        <w:rPr>
          <w:rFonts w:ascii="Times New Roman" w:hAnsi="Times New Roman"/>
          <w:b/>
          <w:bCs/>
          <w:sz w:val="24"/>
        </w:rPr>
        <w:t xml:space="preserve">divadelních, koncertních a obdobných </w:t>
      </w:r>
      <w:r w:rsidR="00D127FB" w:rsidRPr="001A6C57">
        <w:rPr>
          <w:rFonts w:ascii="Times New Roman" w:hAnsi="Times New Roman"/>
          <w:b/>
          <w:bCs/>
          <w:sz w:val="24"/>
        </w:rPr>
        <w:t xml:space="preserve">představení  </w:t>
      </w:r>
      <w:r w:rsidR="0009062F" w:rsidRPr="001A6C57">
        <w:rPr>
          <w:rFonts w:ascii="Times New Roman" w:hAnsi="Times New Roman"/>
          <w:b/>
          <w:bCs/>
          <w:sz w:val="24"/>
        </w:rPr>
        <w:t xml:space="preserve">ani </w:t>
      </w:r>
      <w:r w:rsidR="00D127FB" w:rsidRPr="001A6C57">
        <w:rPr>
          <w:rFonts w:ascii="Times New Roman" w:hAnsi="Times New Roman"/>
          <w:b/>
          <w:bCs/>
          <w:sz w:val="24"/>
        </w:rPr>
        <w:t xml:space="preserve"> </w:t>
      </w:r>
      <w:r w:rsidR="0009062F" w:rsidRPr="001A6C57">
        <w:rPr>
          <w:rFonts w:ascii="Times New Roman" w:hAnsi="Times New Roman"/>
          <w:b/>
          <w:bCs/>
          <w:sz w:val="24"/>
        </w:rPr>
        <w:t xml:space="preserve">na </w:t>
      </w:r>
      <w:r w:rsidR="00D127FB" w:rsidRPr="001A6C57">
        <w:rPr>
          <w:rFonts w:ascii="Times New Roman" w:hAnsi="Times New Roman"/>
          <w:b/>
          <w:bCs/>
          <w:sz w:val="24"/>
        </w:rPr>
        <w:t xml:space="preserve">užití </w:t>
      </w:r>
      <w:r w:rsidR="0009062F" w:rsidRPr="001A6C57">
        <w:rPr>
          <w:rFonts w:ascii="Times New Roman" w:hAnsi="Times New Roman"/>
          <w:b/>
          <w:bCs/>
          <w:sz w:val="24"/>
        </w:rPr>
        <w:t xml:space="preserve">hudebních </w:t>
      </w:r>
      <w:r w:rsidR="00D127FB" w:rsidRPr="001A6C57">
        <w:rPr>
          <w:rFonts w:ascii="Times New Roman" w:hAnsi="Times New Roman"/>
          <w:b/>
          <w:bCs/>
          <w:sz w:val="24"/>
        </w:rPr>
        <w:t>děl</w:t>
      </w:r>
      <w:r w:rsidR="0009062F" w:rsidRPr="001A6C57">
        <w:rPr>
          <w:rFonts w:ascii="Times New Roman" w:hAnsi="Times New Roman"/>
          <w:b/>
          <w:bCs/>
          <w:sz w:val="24"/>
        </w:rPr>
        <w:t xml:space="preserve"> v rámci díla</w:t>
      </w:r>
      <w:r w:rsidR="00D127FB" w:rsidRPr="001A6C57">
        <w:rPr>
          <w:rFonts w:ascii="Times New Roman" w:hAnsi="Times New Roman"/>
          <w:b/>
          <w:bCs/>
          <w:sz w:val="24"/>
        </w:rPr>
        <w:t>, které nem</w:t>
      </w:r>
      <w:r w:rsidR="0009062F" w:rsidRPr="001A6C57">
        <w:rPr>
          <w:rFonts w:ascii="Times New Roman" w:hAnsi="Times New Roman"/>
          <w:b/>
          <w:bCs/>
          <w:sz w:val="24"/>
        </w:rPr>
        <w:t>á</w:t>
      </w:r>
      <w:r w:rsidR="00D127FB" w:rsidRPr="001A6C57">
        <w:rPr>
          <w:rFonts w:ascii="Times New Roman" w:hAnsi="Times New Roman"/>
          <w:b/>
          <w:bCs/>
          <w:sz w:val="24"/>
        </w:rPr>
        <w:t xml:space="preserve"> charakter </w:t>
      </w:r>
      <w:r w:rsidR="0009062F" w:rsidRPr="001A6C57">
        <w:rPr>
          <w:rFonts w:ascii="Times New Roman" w:hAnsi="Times New Roman"/>
          <w:b/>
          <w:bCs/>
          <w:sz w:val="24"/>
        </w:rPr>
        <w:t xml:space="preserve">audiovizuálního </w:t>
      </w:r>
      <w:r w:rsidR="00D127FB" w:rsidRPr="001A6C57">
        <w:rPr>
          <w:rFonts w:ascii="Times New Roman" w:hAnsi="Times New Roman"/>
          <w:b/>
          <w:bCs/>
          <w:sz w:val="24"/>
        </w:rPr>
        <w:t xml:space="preserve"> díla.</w:t>
      </w:r>
      <w:r w:rsidR="0009062F" w:rsidRPr="001A6C57">
        <w:rPr>
          <w:rFonts w:ascii="Times New Roman" w:hAnsi="Times New Roman"/>
          <w:b/>
          <w:bCs/>
          <w:sz w:val="24"/>
        </w:rPr>
        <w:t xml:space="preserve">   </w:t>
      </w:r>
    </w:p>
    <w:p w:rsidR="001134BA" w:rsidRPr="001A6C57" w:rsidRDefault="001134BA">
      <w:pPr>
        <w:pStyle w:val="PlainText"/>
        <w:rPr>
          <w:rFonts w:ascii="Times New Roman" w:hAnsi="Times New Roman"/>
          <w:b/>
          <w:sz w:val="24"/>
        </w:rPr>
      </w:pP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</w:rPr>
      </w:pPr>
      <w:r w:rsidRPr="001A6C57">
        <w:rPr>
          <w:rFonts w:ascii="Times New Roman" w:hAnsi="Times New Roman"/>
          <w:b/>
          <w:sz w:val="24"/>
        </w:rPr>
        <w:t>II.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  <w:r w:rsidRPr="001A6C57">
        <w:rPr>
          <w:rFonts w:ascii="Times New Roman" w:hAnsi="Times New Roman"/>
          <w:b/>
          <w:sz w:val="24"/>
          <w:u w:val="single"/>
        </w:rPr>
        <w:t>Výše odměny a její splatnost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</w:p>
    <w:p w:rsidR="001134BA" w:rsidRPr="001A6C57" w:rsidRDefault="009E0D9F" w:rsidP="00656C38">
      <w:pPr>
        <w:pStyle w:val="Zkladntextodsazen"/>
        <w:numPr>
          <w:ilvl w:val="0"/>
          <w:numId w:val="8"/>
        </w:numPr>
        <w:tabs>
          <w:tab w:val="num" w:pos="567"/>
        </w:tabs>
        <w:ind w:left="567" w:hanging="567"/>
      </w:pPr>
      <w:r w:rsidRPr="001A6C57">
        <w:rPr>
          <w:rFonts w:cs="Arial"/>
          <w:szCs w:val="20"/>
        </w:rPr>
        <w:t xml:space="preserve">Provozovatel uhradí za poskytnutí oprávnění k výkonu práva užít díla z repertoáru OSA vymezené v této smlouvě roční autorskou odměnu ve výši </w:t>
      </w:r>
      <w:r w:rsidR="00973156" w:rsidRPr="001A6C57">
        <w:rPr>
          <w:b/>
        </w:rPr>
        <w:t>0,55</w:t>
      </w:r>
      <w:r w:rsidRPr="001A6C57">
        <w:rPr>
          <w:b/>
        </w:rPr>
        <w:t xml:space="preserve">% </w:t>
      </w:r>
      <w:r w:rsidR="001134BA" w:rsidRPr="001A6C57">
        <w:t>z </w:t>
      </w:r>
      <w:r w:rsidR="001134BA" w:rsidRPr="001A6C57">
        <w:rPr>
          <w:b/>
          <w:bCs/>
        </w:rPr>
        <w:t>hrubých příjmů</w:t>
      </w:r>
      <w:r w:rsidRPr="001A6C57">
        <w:rPr>
          <w:bCs/>
        </w:rPr>
        <w:t>.</w:t>
      </w:r>
      <w:r w:rsidRPr="001A6C57">
        <w:rPr>
          <w:b/>
          <w:bCs/>
        </w:rPr>
        <w:t xml:space="preserve"> </w:t>
      </w:r>
      <w:r w:rsidR="001134BA" w:rsidRPr="001A6C57">
        <w:rPr>
          <w:b/>
          <w:bCs/>
        </w:rPr>
        <w:t xml:space="preserve"> </w:t>
      </w:r>
      <w:r w:rsidRPr="001A6C57">
        <w:rPr>
          <w:b/>
          <w:bCs/>
        </w:rPr>
        <w:t xml:space="preserve"> </w:t>
      </w:r>
      <w:r w:rsidR="001134BA" w:rsidRPr="001A6C57">
        <w:t xml:space="preserve"> </w:t>
      </w:r>
      <w:r w:rsidRPr="001A6C57">
        <w:t>Za h</w:t>
      </w:r>
      <w:r w:rsidRPr="001A6C57">
        <w:rPr>
          <w:bCs/>
        </w:rPr>
        <w:t>rubé příjmy</w:t>
      </w:r>
      <w:r w:rsidRPr="001A6C57">
        <w:t xml:space="preserve"> se pro účely této smlouvy považuje </w:t>
      </w:r>
      <w:r w:rsidR="001134BA" w:rsidRPr="001A6C57">
        <w:t xml:space="preserve">inkaso za prodej </w:t>
      </w:r>
      <w:r w:rsidR="001F25AF" w:rsidRPr="001A6C57">
        <w:t xml:space="preserve">vstupenek </w:t>
      </w:r>
      <w:r w:rsidR="001134BA" w:rsidRPr="001A6C57">
        <w:t xml:space="preserve"> po odečtení poplatku do </w:t>
      </w:r>
      <w:r w:rsidR="008130F1" w:rsidRPr="001A6C57">
        <w:t>Státního fondu ČR pro podporu a rozvoj české kinematografie</w:t>
      </w:r>
      <w:r w:rsidR="001134BA" w:rsidRPr="001A6C57">
        <w:t>, příp. příslušných místních poplatků a po odečtení DPH, pokud je provozovatel plátcem DPH</w:t>
      </w:r>
      <w:r w:rsidRPr="001A6C57">
        <w:t xml:space="preserve">.  </w:t>
      </w:r>
    </w:p>
    <w:p w:rsidR="00280552" w:rsidRPr="001A6C57" w:rsidRDefault="00280552" w:rsidP="00656C38">
      <w:pPr>
        <w:pStyle w:val="Zkladntextodsazen"/>
        <w:numPr>
          <w:ilvl w:val="0"/>
          <w:numId w:val="8"/>
        </w:numPr>
        <w:tabs>
          <w:tab w:val="num" w:pos="567"/>
        </w:tabs>
        <w:ind w:left="567" w:hanging="567"/>
      </w:pPr>
      <w:r w:rsidRPr="001A6C57">
        <w:rPr>
          <w:bCs/>
        </w:rPr>
        <w:t xml:space="preserve"> </w:t>
      </w:r>
      <w:r w:rsidR="00573019" w:rsidRPr="001A6C57">
        <w:rPr>
          <w:bCs/>
        </w:rPr>
        <w:t xml:space="preserve">Pokud </w:t>
      </w:r>
      <w:r w:rsidRPr="001A6C57">
        <w:rPr>
          <w:bCs/>
        </w:rPr>
        <w:t>v kině či na jiném místě dochází k</w:t>
      </w:r>
      <w:r w:rsidR="00CB3D72" w:rsidRPr="001A6C57">
        <w:rPr>
          <w:bCs/>
        </w:rPr>
        <w:t xml:space="preserve"> promítání </w:t>
      </w:r>
      <w:r w:rsidRPr="001A6C57">
        <w:rPr>
          <w:bCs/>
        </w:rPr>
        <w:t>filmové</w:t>
      </w:r>
      <w:r w:rsidR="00CB3D72" w:rsidRPr="001A6C57">
        <w:rPr>
          <w:bCs/>
        </w:rPr>
        <w:t>ho</w:t>
      </w:r>
      <w:r w:rsidRPr="001A6C57">
        <w:rPr>
          <w:bCs/>
        </w:rPr>
        <w:t xml:space="preserve"> představení bez vybírání vstupného</w:t>
      </w:r>
      <w:r w:rsidR="00573019" w:rsidRPr="001A6C57">
        <w:rPr>
          <w:bCs/>
        </w:rPr>
        <w:t>,</w:t>
      </w:r>
      <w:r w:rsidRPr="001A6C57">
        <w:rPr>
          <w:bCs/>
        </w:rPr>
        <w:t xml:space="preserve"> provede se výpočet autorské odměny za každé takovéto představení následujícím způsobem: maximální kapacita místa promítání x 1</w:t>
      </w:r>
      <w:r w:rsidR="00973156" w:rsidRPr="001A6C57">
        <w:rPr>
          <w:bCs/>
        </w:rPr>
        <w:t>5</w:t>
      </w:r>
      <w:r w:rsidRPr="001A6C57">
        <w:rPr>
          <w:bCs/>
        </w:rPr>
        <w:t xml:space="preserve"> haléřů</w:t>
      </w:r>
      <w:r w:rsidR="001A6E17" w:rsidRPr="001A6C57">
        <w:rPr>
          <w:bCs/>
        </w:rPr>
        <w:t>.</w:t>
      </w:r>
      <w:r w:rsidRPr="001A6C57">
        <w:rPr>
          <w:bCs/>
        </w:rPr>
        <w:t xml:space="preserve"> </w:t>
      </w:r>
    </w:p>
    <w:p w:rsidR="001A6E17" w:rsidRPr="001A6C57" w:rsidRDefault="001A6E17" w:rsidP="00656C38">
      <w:pPr>
        <w:pStyle w:val="Zkladntextodsazen"/>
        <w:tabs>
          <w:tab w:val="num" w:pos="567"/>
        </w:tabs>
        <w:ind w:left="567" w:hanging="567"/>
      </w:pPr>
    </w:p>
    <w:p w:rsidR="001134BA" w:rsidRPr="00952A15" w:rsidRDefault="00656C38" w:rsidP="00973156">
      <w:pPr>
        <w:pStyle w:val="Zkladntextodsazen"/>
        <w:numPr>
          <w:ilvl w:val="0"/>
          <w:numId w:val="8"/>
        </w:numPr>
        <w:ind w:left="567" w:hanging="567"/>
        <w:rPr>
          <w:b/>
          <w:bCs/>
          <w:strike/>
        </w:rPr>
      </w:pPr>
      <w:r w:rsidRPr="001A6C57">
        <w:t>Je</w:t>
      </w:r>
      <w:r w:rsidR="005A3039" w:rsidRPr="001A6C57">
        <w:t xml:space="preserve">stliže provozovatel </w:t>
      </w:r>
      <w:r w:rsidR="001134BA" w:rsidRPr="001A6C57">
        <w:t xml:space="preserve">dle podmínek stanovených </w:t>
      </w:r>
      <w:r w:rsidR="005A3039" w:rsidRPr="001A6C57">
        <w:t xml:space="preserve">touto </w:t>
      </w:r>
      <w:r w:rsidR="001134BA" w:rsidRPr="001A6C57">
        <w:t>smlouvou včas a řádně poskytn</w:t>
      </w:r>
      <w:r w:rsidR="005A3039" w:rsidRPr="001A6C57">
        <w:t>e</w:t>
      </w:r>
      <w:r w:rsidR="001134BA" w:rsidRPr="001A6C57">
        <w:t xml:space="preserve"> výkazy hlášení a uhradí autorskou odměnu v termínu splatnosti</w:t>
      </w:r>
      <w:r w:rsidR="009E0D9F" w:rsidRPr="001A6C57">
        <w:t>,</w:t>
      </w:r>
      <w:r w:rsidR="001134BA" w:rsidRPr="001A6C57">
        <w:t xml:space="preserve"> </w:t>
      </w:r>
      <w:r w:rsidR="005A3039" w:rsidRPr="001A6C57">
        <w:t xml:space="preserve">OSA </w:t>
      </w:r>
      <w:r w:rsidR="001134BA" w:rsidRPr="001A6C57">
        <w:t xml:space="preserve">se </w:t>
      </w:r>
      <w:r w:rsidR="005A3039" w:rsidRPr="001A6C57">
        <w:t xml:space="preserve">zavazuje </w:t>
      </w:r>
      <w:r w:rsidR="001134BA" w:rsidRPr="001A6C57">
        <w:t>poskyt</w:t>
      </w:r>
      <w:r w:rsidR="005A3039" w:rsidRPr="001A6C57">
        <w:t xml:space="preserve">nout </w:t>
      </w:r>
      <w:r w:rsidR="00D62E82" w:rsidRPr="001A6C57">
        <w:t>p</w:t>
      </w:r>
      <w:r w:rsidR="00973156" w:rsidRPr="001A6C57">
        <w:t>rovozovatelům, kteří dle podmínek stanovených smlouvou včas a řádně poskytnou výkazy hlášení a uhradí autorskou odměnu v termínu splatnosti</w:t>
      </w:r>
      <w:r w:rsidR="00950802">
        <w:t>,</w:t>
      </w:r>
      <w:r w:rsidR="00973156" w:rsidRPr="001A6C57">
        <w:t xml:space="preserve">  </w:t>
      </w:r>
      <w:r w:rsidR="00973156" w:rsidRPr="00952A15">
        <w:rPr>
          <w:b/>
          <w:bCs/>
        </w:rPr>
        <w:t xml:space="preserve">slevu ve </w:t>
      </w:r>
      <w:r w:rsidR="00973156" w:rsidRPr="00952A15">
        <w:rPr>
          <w:b/>
          <w:bCs/>
        </w:rPr>
        <w:lastRenderedPageBreak/>
        <w:t xml:space="preserve">výši 1/11 </w:t>
      </w:r>
      <w:r w:rsidR="005A3039" w:rsidRPr="00952A15">
        <w:rPr>
          <w:b/>
          <w:bCs/>
        </w:rPr>
        <w:t xml:space="preserve"> z autorské odměny </w:t>
      </w:r>
      <w:r w:rsidR="00973156" w:rsidRPr="00952A15">
        <w:rPr>
          <w:b/>
          <w:bCs/>
        </w:rPr>
        <w:t>dle čl. II. odst. 1.</w:t>
      </w:r>
      <w:r w:rsidR="001134BA" w:rsidRPr="00952A15">
        <w:rPr>
          <w:b/>
          <w:bCs/>
        </w:rPr>
        <w:t xml:space="preserve">  </w:t>
      </w:r>
      <w:r w:rsidR="001134BA" w:rsidRPr="001A6C57">
        <w:t xml:space="preserve">Nárok na přiznání slevy se posuzuje samostatně vždy pro každé čtvrtletní zúčtovací období zvlášť počínaje druhým </w:t>
      </w:r>
      <w:r w:rsidR="00973156" w:rsidRPr="001A6C57">
        <w:t xml:space="preserve"> </w:t>
      </w:r>
      <w:r w:rsidR="001134BA" w:rsidRPr="001A6C57">
        <w:t xml:space="preserve">kalendářním čtvrtletím po nabytí účinnosti smlouvy. Nárok na slevu vzniká </w:t>
      </w:r>
      <w:r w:rsidR="005A3039" w:rsidRPr="001A6C57">
        <w:t xml:space="preserve"> </w:t>
      </w:r>
      <w:r w:rsidR="001134BA" w:rsidRPr="001A6C57">
        <w:t>automaticky při splnění podmínek uvedených v tomto odstavci</w:t>
      </w:r>
      <w:r w:rsidR="005A3039" w:rsidRPr="001A6C57">
        <w:t xml:space="preserve">. </w:t>
      </w:r>
      <w:r w:rsidR="001134BA" w:rsidRPr="001A6C57">
        <w:t xml:space="preserve"> OSA </w:t>
      </w:r>
      <w:r w:rsidR="005A3039" w:rsidRPr="001A6C57">
        <w:t xml:space="preserve"> se zavazuje</w:t>
      </w:r>
      <w:r w:rsidR="001134BA" w:rsidRPr="001A6C57">
        <w:t xml:space="preserve"> v takovém případě vystavit provozovateli za příslušné zúčtovací období  fakturu na částku sníženou o přiznanou slevu. Pro prvé zúčtovací období po nabytí účinnosti smlouvy je sleva přiznána automaticky bez ohledu na splnění podmínek pro vznik nároku provozovatelem. </w:t>
      </w:r>
      <w:r w:rsidRPr="001A6C57">
        <w:t xml:space="preserve">    </w:t>
      </w:r>
    </w:p>
    <w:p w:rsidR="00952A15" w:rsidRDefault="00952A15" w:rsidP="00952A15">
      <w:pPr>
        <w:pStyle w:val="Zkladntextodsazen"/>
        <w:tabs>
          <w:tab w:val="num" w:pos="567"/>
        </w:tabs>
        <w:ind w:left="567" w:firstLine="0"/>
        <w:rPr>
          <w:b/>
          <w:bCs/>
        </w:rPr>
      </w:pPr>
    </w:p>
    <w:p w:rsidR="001A6E17" w:rsidRPr="001A6C57" w:rsidRDefault="001134BA" w:rsidP="00952A15">
      <w:pPr>
        <w:pStyle w:val="Zkladntextodsazen"/>
        <w:numPr>
          <w:ilvl w:val="0"/>
          <w:numId w:val="8"/>
        </w:numPr>
        <w:ind w:firstLine="0"/>
      </w:pPr>
      <w:r w:rsidRPr="001A6C57">
        <w:rPr>
          <w:b/>
          <w:bCs/>
        </w:rPr>
        <w:t xml:space="preserve">Minimální </w:t>
      </w:r>
      <w:r w:rsidRPr="001A6C57">
        <w:t xml:space="preserve">roční výše autorské odměny za udělení licence </w:t>
      </w:r>
      <w:r w:rsidR="005A3039" w:rsidRPr="001A6C57">
        <w:t xml:space="preserve">činí </w:t>
      </w:r>
      <w:r w:rsidRPr="001A6C57">
        <w:t xml:space="preserve"> </w:t>
      </w:r>
      <w:r w:rsidRPr="00B165E3">
        <w:rPr>
          <w:b/>
        </w:rPr>
        <w:t>1</w:t>
      </w:r>
      <w:r w:rsidR="00297ADC" w:rsidRPr="00B165E3">
        <w:rPr>
          <w:b/>
        </w:rPr>
        <w:t>5</w:t>
      </w:r>
      <w:r w:rsidRPr="00B165E3">
        <w:rPr>
          <w:b/>
        </w:rPr>
        <w:t>0,- Kč</w:t>
      </w:r>
      <w:r w:rsidR="001A6E17" w:rsidRPr="00B165E3">
        <w:rPr>
          <w:b/>
        </w:rPr>
        <w:t>.</w:t>
      </w:r>
    </w:p>
    <w:p w:rsidR="00FF0417" w:rsidRPr="001A6C57" w:rsidRDefault="001134BA" w:rsidP="00656C38">
      <w:pPr>
        <w:pStyle w:val="Zkladntextodsazen"/>
        <w:tabs>
          <w:tab w:val="num" w:pos="567"/>
        </w:tabs>
        <w:ind w:left="567" w:hanging="567"/>
      </w:pPr>
      <w:r w:rsidRPr="001A6C57">
        <w:t xml:space="preserve"> </w:t>
      </w:r>
    </w:p>
    <w:p w:rsidR="00FF0417" w:rsidRPr="001A6C57" w:rsidRDefault="00FF0417" w:rsidP="00656C38">
      <w:pPr>
        <w:pStyle w:val="Zkladntextodsazen"/>
        <w:tabs>
          <w:tab w:val="num" w:pos="567"/>
        </w:tabs>
        <w:ind w:left="567" w:hanging="567"/>
        <w:rPr>
          <w:bCs/>
        </w:rPr>
      </w:pPr>
      <w:r w:rsidRPr="001A6C57">
        <w:t>(</w:t>
      </w:r>
      <w:r w:rsidR="00CB3D72" w:rsidRPr="001A6C57">
        <w:t>5</w:t>
      </w:r>
      <w:r w:rsidRPr="001A6C57">
        <w:t xml:space="preserve">) </w:t>
      </w:r>
      <w:r w:rsidR="00656C38" w:rsidRPr="001A6C57">
        <w:t xml:space="preserve">   </w:t>
      </w:r>
      <w:r w:rsidRPr="001A6C57">
        <w:t>Autorské odměny se vypočítávají za každé kino provozovatele.</w:t>
      </w:r>
      <w:r w:rsidRPr="001A6C57">
        <w:rPr>
          <w:b/>
          <w:bCs/>
        </w:rPr>
        <w:t xml:space="preserve"> </w:t>
      </w:r>
      <w:r w:rsidRPr="001A6C57">
        <w:rPr>
          <w:bCs/>
        </w:rPr>
        <w:t>Částka autorské odměny vypočítaná podle odst. 1 a</w:t>
      </w:r>
      <w:r w:rsidR="00481BDA" w:rsidRPr="001A6C57">
        <w:rPr>
          <w:bCs/>
        </w:rPr>
        <w:t>ž</w:t>
      </w:r>
      <w:r w:rsidRPr="001A6C57">
        <w:rPr>
          <w:bCs/>
        </w:rPr>
        <w:t xml:space="preserve"> </w:t>
      </w:r>
      <w:r w:rsidR="00CB3D72" w:rsidRPr="001A6C57">
        <w:rPr>
          <w:bCs/>
        </w:rPr>
        <w:t>4</w:t>
      </w:r>
      <w:r w:rsidR="00481BDA" w:rsidRPr="001A6C57">
        <w:rPr>
          <w:bCs/>
        </w:rPr>
        <w:t xml:space="preserve"> </w:t>
      </w:r>
      <w:r w:rsidRPr="001A6C57">
        <w:rPr>
          <w:bCs/>
        </w:rPr>
        <w:t>bude navýšena o základní sazbu DPH.</w:t>
      </w:r>
    </w:p>
    <w:p w:rsidR="001134BA" w:rsidRPr="001A6C57" w:rsidRDefault="001134BA" w:rsidP="00656C38">
      <w:pPr>
        <w:pStyle w:val="PlainText"/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BF31ED" w:rsidP="00656C38">
      <w:pPr>
        <w:pStyle w:val="PlainText"/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(</w:t>
      </w:r>
      <w:r w:rsidR="00CB3D72" w:rsidRPr="001A6C57">
        <w:rPr>
          <w:rFonts w:ascii="Times New Roman" w:hAnsi="Times New Roman"/>
          <w:sz w:val="24"/>
        </w:rPr>
        <w:t>6</w:t>
      </w:r>
      <w:r w:rsidRPr="001A6C57">
        <w:rPr>
          <w:rFonts w:ascii="Times New Roman" w:hAnsi="Times New Roman"/>
          <w:sz w:val="24"/>
        </w:rPr>
        <w:t xml:space="preserve">) </w:t>
      </w:r>
      <w:r w:rsidR="00656C38" w:rsidRPr="001A6C57">
        <w:rPr>
          <w:rFonts w:ascii="Times New Roman" w:hAnsi="Times New Roman"/>
          <w:sz w:val="24"/>
        </w:rPr>
        <w:t xml:space="preserve">   </w:t>
      </w:r>
      <w:r w:rsidR="001134BA" w:rsidRPr="001A6C57">
        <w:rPr>
          <w:rFonts w:ascii="Times New Roman" w:hAnsi="Times New Roman"/>
          <w:sz w:val="24"/>
        </w:rPr>
        <w:t xml:space="preserve">Autorská </w:t>
      </w:r>
      <w:r w:rsidR="00D4125C" w:rsidRPr="001A6C57">
        <w:rPr>
          <w:rFonts w:ascii="Times New Roman" w:hAnsi="Times New Roman"/>
          <w:sz w:val="24"/>
        </w:rPr>
        <w:t xml:space="preserve">   </w:t>
      </w:r>
      <w:r w:rsidR="001134BA" w:rsidRPr="001A6C57">
        <w:rPr>
          <w:rFonts w:ascii="Times New Roman" w:hAnsi="Times New Roman"/>
          <w:sz w:val="24"/>
        </w:rPr>
        <w:t xml:space="preserve">odměna je </w:t>
      </w:r>
      <w:r w:rsidR="00D4125C" w:rsidRPr="001A6C57">
        <w:rPr>
          <w:rFonts w:ascii="Times New Roman" w:hAnsi="Times New Roman"/>
          <w:sz w:val="24"/>
        </w:rPr>
        <w:t xml:space="preserve">    </w:t>
      </w:r>
      <w:r w:rsidR="001134BA" w:rsidRPr="001A6C57">
        <w:rPr>
          <w:rFonts w:ascii="Times New Roman" w:hAnsi="Times New Roman"/>
          <w:sz w:val="24"/>
        </w:rPr>
        <w:t xml:space="preserve">splatná </w:t>
      </w:r>
      <w:r w:rsidR="00D4125C" w:rsidRPr="001A6C57">
        <w:rPr>
          <w:rFonts w:ascii="Times New Roman" w:hAnsi="Times New Roman"/>
          <w:sz w:val="24"/>
        </w:rPr>
        <w:t xml:space="preserve">    </w:t>
      </w:r>
      <w:r w:rsidR="001134BA" w:rsidRPr="001A6C57">
        <w:rPr>
          <w:rFonts w:ascii="Times New Roman" w:hAnsi="Times New Roman"/>
          <w:sz w:val="24"/>
        </w:rPr>
        <w:t>na základě</w:t>
      </w:r>
      <w:r w:rsidR="00D4125C" w:rsidRPr="001A6C57">
        <w:rPr>
          <w:rFonts w:ascii="Times New Roman" w:hAnsi="Times New Roman"/>
          <w:sz w:val="24"/>
        </w:rPr>
        <w:t xml:space="preserve">  </w:t>
      </w:r>
      <w:r w:rsidR="001134BA" w:rsidRPr="001A6C57">
        <w:rPr>
          <w:rFonts w:ascii="Times New Roman" w:hAnsi="Times New Roman"/>
          <w:sz w:val="24"/>
        </w:rPr>
        <w:t xml:space="preserve"> faktury</w:t>
      </w:r>
      <w:r w:rsidR="00D4125C" w:rsidRPr="001A6C57">
        <w:rPr>
          <w:rFonts w:ascii="Times New Roman" w:hAnsi="Times New Roman"/>
          <w:sz w:val="24"/>
        </w:rPr>
        <w:t xml:space="preserve">  </w:t>
      </w:r>
      <w:r w:rsidR="001134BA" w:rsidRPr="001A6C57">
        <w:rPr>
          <w:rFonts w:ascii="Times New Roman" w:hAnsi="Times New Roman"/>
          <w:sz w:val="24"/>
        </w:rPr>
        <w:t xml:space="preserve"> vystavené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OSA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podle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hlášení provozovatele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(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viz čl. III. odst. 1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). Splatnost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faktury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je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15 dní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ode</w:t>
      </w:r>
      <w:r w:rsidR="00D4125C" w:rsidRPr="001A6C57">
        <w:rPr>
          <w:rFonts w:ascii="Times New Roman" w:hAnsi="Times New Roman"/>
          <w:sz w:val="24"/>
        </w:rPr>
        <w:t xml:space="preserve">  </w:t>
      </w:r>
      <w:r w:rsidR="001134BA" w:rsidRPr="001A6C57">
        <w:rPr>
          <w:rFonts w:ascii="Times New Roman" w:hAnsi="Times New Roman"/>
          <w:sz w:val="24"/>
        </w:rPr>
        <w:t xml:space="preserve"> dne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jejího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doručení provozovateli. OSA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se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zavazuje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vystavit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fakturu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nejpozději do 14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dnů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ode dne obdržení hlášení provozovatele. Faktura  je platně doručena i v případě, že provozovatel prokazatelně odmítne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fakturu převzít;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nevyzvedne-li </w:t>
      </w:r>
      <w:r w:rsidR="00D4125C" w:rsidRPr="001A6C57">
        <w:rPr>
          <w:rFonts w:ascii="Times New Roman" w:hAnsi="Times New Roman"/>
          <w:sz w:val="24"/>
        </w:rPr>
        <w:t xml:space="preserve">  </w:t>
      </w:r>
      <w:r w:rsidR="001134BA" w:rsidRPr="001A6C57">
        <w:rPr>
          <w:rFonts w:ascii="Times New Roman" w:hAnsi="Times New Roman"/>
          <w:sz w:val="24"/>
        </w:rPr>
        <w:t xml:space="preserve">si provozovatel </w:t>
      </w:r>
      <w:r w:rsidR="00D4125C" w:rsidRPr="001A6C57">
        <w:rPr>
          <w:rFonts w:ascii="Times New Roman" w:hAnsi="Times New Roman"/>
          <w:sz w:val="24"/>
        </w:rPr>
        <w:t xml:space="preserve">  </w:t>
      </w:r>
      <w:r w:rsidR="001134BA" w:rsidRPr="001A6C57">
        <w:rPr>
          <w:rFonts w:ascii="Times New Roman" w:hAnsi="Times New Roman"/>
          <w:sz w:val="24"/>
        </w:rPr>
        <w:t xml:space="preserve"> uloženou zásilku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do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tří dnů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od jejího uložení subjektem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oprávněným provádět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doručování, považuje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 xml:space="preserve"> se </w:t>
      </w:r>
      <w:r w:rsidR="00D4125C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sz w:val="24"/>
        </w:rPr>
        <w:t>poslední den této lhůty za den doručení, i když se provozovatel o uložení nedozvěděl.</w:t>
      </w:r>
    </w:p>
    <w:p w:rsidR="001134BA" w:rsidRPr="001A6C57" w:rsidRDefault="001134BA" w:rsidP="00656C38">
      <w:pPr>
        <w:pStyle w:val="PlainText"/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tabs>
          <w:tab w:val="num" w:pos="567"/>
        </w:tabs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 xml:space="preserve"> (</w:t>
      </w:r>
      <w:r w:rsidR="00CB3D72" w:rsidRPr="001A6C57">
        <w:rPr>
          <w:rFonts w:ascii="Times New Roman" w:hAnsi="Times New Roman"/>
          <w:sz w:val="24"/>
        </w:rPr>
        <w:t>7</w:t>
      </w:r>
      <w:r w:rsidRPr="001A6C57">
        <w:rPr>
          <w:rFonts w:ascii="Times New Roman" w:hAnsi="Times New Roman"/>
          <w:sz w:val="24"/>
        </w:rPr>
        <w:t xml:space="preserve">)  Smluvní strany konstatují, že shodně považují výši odměn stanovených v této smlouvě  </w:t>
      </w:r>
      <w:r w:rsidR="007121C2" w:rsidRPr="001A6C57">
        <w:rPr>
          <w:rFonts w:ascii="Times New Roman" w:hAnsi="Times New Roman"/>
          <w:sz w:val="24"/>
        </w:rPr>
        <w:t xml:space="preserve">    </w:t>
      </w:r>
      <w:r w:rsidRPr="001A6C57">
        <w:rPr>
          <w:rFonts w:ascii="Times New Roman" w:hAnsi="Times New Roman"/>
          <w:sz w:val="24"/>
        </w:rPr>
        <w:t xml:space="preserve">přiměřenou rozsahu nevýhradní licence poskytnuté  touto smlouvou OSA provozovateli. </w:t>
      </w:r>
    </w:p>
    <w:p w:rsidR="001134BA" w:rsidRPr="001A6C57" w:rsidRDefault="001134BA" w:rsidP="00656C38">
      <w:pPr>
        <w:pStyle w:val="PlainText"/>
        <w:jc w:val="both"/>
        <w:rPr>
          <w:rFonts w:ascii="Times New Roman" w:hAnsi="Times New Roman"/>
          <w:sz w:val="24"/>
        </w:rPr>
      </w:pP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</w:rPr>
      </w:pPr>
      <w:r w:rsidRPr="001A6C57">
        <w:rPr>
          <w:rFonts w:ascii="Times New Roman" w:hAnsi="Times New Roman"/>
          <w:b/>
          <w:sz w:val="24"/>
        </w:rPr>
        <w:t>III.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  <w:r w:rsidRPr="001A6C57">
        <w:rPr>
          <w:rFonts w:ascii="Times New Roman" w:hAnsi="Times New Roman"/>
          <w:b/>
          <w:sz w:val="24"/>
          <w:u w:val="single"/>
        </w:rPr>
        <w:t>Oznamovací povinnost provozovatele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</w:p>
    <w:p w:rsidR="00426B32" w:rsidRPr="001A6C57" w:rsidRDefault="001134BA" w:rsidP="00656C38">
      <w:pPr>
        <w:pStyle w:val="Zkladntext"/>
        <w:numPr>
          <w:ilvl w:val="0"/>
          <w:numId w:val="3"/>
        </w:numPr>
        <w:ind w:left="567" w:hanging="567"/>
        <w:rPr>
          <w:b/>
          <w:u w:val="single"/>
        </w:rPr>
      </w:pPr>
      <w:r w:rsidRPr="001A6C57">
        <w:t xml:space="preserve">Provozovatel se zavazuje zasílat OSA čtvrtletně písemně nebo elektronicky (např. e-mailem) hlášení o </w:t>
      </w:r>
      <w:r w:rsidR="00E5616E" w:rsidRPr="001A6C57">
        <w:t xml:space="preserve">výši </w:t>
      </w:r>
      <w:r w:rsidR="007F132D" w:rsidRPr="001A6C57">
        <w:t>čtvrtletních hrubých příjm</w:t>
      </w:r>
      <w:r w:rsidR="00E5616E" w:rsidRPr="001A6C57">
        <w:t>ů</w:t>
      </w:r>
      <w:r w:rsidR="007F132D" w:rsidRPr="001A6C57">
        <w:t xml:space="preserve"> </w:t>
      </w:r>
      <w:r w:rsidRPr="001A6C57">
        <w:t>(po odečtení po</w:t>
      </w:r>
      <w:r w:rsidR="007F132D" w:rsidRPr="001A6C57">
        <w:t xml:space="preserve">ložek </w:t>
      </w:r>
      <w:r w:rsidRPr="001A6C57">
        <w:t xml:space="preserve">dle článku II.) inkasovaných za prodej lístků v každém jím provozovaném kině či jiném místě promítání  </w:t>
      </w:r>
      <w:r w:rsidR="00C42B67" w:rsidRPr="001A6C57">
        <w:t xml:space="preserve"> a nebo, </w:t>
      </w:r>
      <w:r w:rsidR="00C42B67" w:rsidRPr="001A6C57">
        <w:rPr>
          <w:bCs/>
        </w:rPr>
        <w:t xml:space="preserve">pokud v kině či na jiném místě dochází k filmovému představení bez vybírání </w:t>
      </w:r>
      <w:r w:rsidR="00C42B67" w:rsidRPr="001A6C57">
        <w:rPr>
          <w:b/>
          <w:bCs/>
        </w:rPr>
        <w:t>v</w:t>
      </w:r>
      <w:r w:rsidR="00C42B67" w:rsidRPr="001A6C57">
        <w:rPr>
          <w:bCs/>
        </w:rPr>
        <w:t xml:space="preserve">stupného, </w:t>
      </w:r>
      <w:r w:rsidR="00C42B67" w:rsidRPr="001A6C57">
        <w:t>hlášení o maximální kapacitě kina či jiného místa promítání a počtu jednotlivých představení  za příslušné období vždy nejpozději do 15 dní po uplynutí příslušného kalendářního čtvrtletí</w:t>
      </w:r>
      <w:r w:rsidR="00CB3D72" w:rsidRPr="001A6C57">
        <w:t>.</w:t>
      </w:r>
      <w:r w:rsidR="00BB0E43" w:rsidRPr="001A6C57">
        <w:t xml:space="preserve"> To </w:t>
      </w:r>
      <w:r w:rsidRPr="001A6C57">
        <w:t>platí</w:t>
      </w:r>
      <w:r w:rsidR="00BB0E43" w:rsidRPr="001A6C57">
        <w:t xml:space="preserve"> i </w:t>
      </w:r>
      <w:r w:rsidRPr="001A6C57">
        <w:t xml:space="preserve"> pro ta období, kdy nedošlo k žádnému provozování  děl</w:t>
      </w:r>
      <w:r w:rsidR="00BE1D1B" w:rsidRPr="001A6C57">
        <w:t xml:space="preserve"> podle této smlouvy. </w:t>
      </w:r>
      <w:r w:rsidR="00A74D2D" w:rsidRPr="001A6C57">
        <w:t xml:space="preserve"> </w:t>
      </w:r>
    </w:p>
    <w:p w:rsidR="00426B32" w:rsidRPr="001A6C57" w:rsidRDefault="00426B32" w:rsidP="00426B32">
      <w:pPr>
        <w:pStyle w:val="Zkladntext"/>
        <w:rPr>
          <w:b/>
          <w:u w:val="single"/>
        </w:rPr>
      </w:pPr>
    </w:p>
    <w:p w:rsidR="00573019" w:rsidRPr="001A6C57" w:rsidRDefault="00A74D2D" w:rsidP="00656C38">
      <w:pPr>
        <w:pStyle w:val="Zkladntext"/>
        <w:numPr>
          <w:ilvl w:val="0"/>
          <w:numId w:val="3"/>
        </w:numPr>
        <w:ind w:left="567" w:hanging="567"/>
        <w:rPr>
          <w:b/>
          <w:u w:val="single"/>
        </w:rPr>
      </w:pPr>
      <w:r w:rsidRPr="001A6C57">
        <w:rPr>
          <w:b/>
          <w:u w:val="single"/>
        </w:rPr>
        <w:t>Provozovatel se zavazuje hlášení za období od 1.1. do 31.3.2010 zaslat do 30.6.2010</w:t>
      </w:r>
      <w:r w:rsidR="00014FFE" w:rsidRPr="001A6C57">
        <w:rPr>
          <w:b/>
          <w:u w:val="single"/>
        </w:rPr>
        <w:t>, nejpozději však společně s hlášením za období od 1.4. do 30.6.2010 t.j do 15.7.2010</w:t>
      </w:r>
      <w:r w:rsidRPr="001A6C57">
        <w:rPr>
          <w:b/>
          <w:u w:val="single"/>
        </w:rPr>
        <w:t>.</w:t>
      </w:r>
    </w:p>
    <w:p w:rsidR="00426B32" w:rsidRPr="001A6C57" w:rsidRDefault="00426B32" w:rsidP="00A74D2D">
      <w:pPr>
        <w:pStyle w:val="Zkladntext"/>
        <w:rPr>
          <w:b/>
        </w:rPr>
      </w:pPr>
    </w:p>
    <w:p w:rsidR="001A6E17" w:rsidRPr="001A6C57" w:rsidRDefault="001A6E17" w:rsidP="00656C38">
      <w:pPr>
        <w:pStyle w:val="Zkladntext"/>
        <w:ind w:left="567" w:hanging="567"/>
      </w:pPr>
    </w:p>
    <w:p w:rsidR="00820AD1" w:rsidRPr="001A6C57" w:rsidRDefault="00820AD1" w:rsidP="00656C38">
      <w:pPr>
        <w:numPr>
          <w:ilvl w:val="0"/>
          <w:numId w:val="3"/>
        </w:numPr>
        <w:ind w:left="567" w:hanging="567"/>
        <w:jc w:val="both"/>
        <w:rPr>
          <w:b/>
          <w:bCs/>
        </w:rPr>
      </w:pPr>
      <w:r w:rsidRPr="001A6C57">
        <w:rPr>
          <w:b/>
        </w:rPr>
        <w:t>Provozovatel se zavazuje v hlášení</w:t>
      </w:r>
      <w:r w:rsidR="005A3039" w:rsidRPr="001A6C57">
        <w:rPr>
          <w:b/>
        </w:rPr>
        <w:t>ch</w:t>
      </w:r>
      <w:r w:rsidRPr="001A6C57">
        <w:rPr>
          <w:b/>
        </w:rPr>
        <w:t xml:space="preserve"> podle tohoto čl. </w:t>
      </w:r>
      <w:r w:rsidR="00BE1D1B" w:rsidRPr="001A6C57">
        <w:rPr>
          <w:b/>
        </w:rPr>
        <w:t xml:space="preserve">odst. </w:t>
      </w:r>
      <w:r w:rsidRPr="001A6C57">
        <w:rPr>
          <w:b/>
        </w:rPr>
        <w:t>1) rozdělovat tržby v případě, že v </w:t>
      </w:r>
      <w:r w:rsidR="00BE1D1B" w:rsidRPr="001A6C57">
        <w:rPr>
          <w:b/>
        </w:rPr>
        <w:t xml:space="preserve">kině </w:t>
      </w:r>
      <w:r w:rsidRPr="001A6C57">
        <w:rPr>
          <w:b/>
        </w:rPr>
        <w:t>došlo k užití děl v rámci filmového či obdobného festivalu</w:t>
      </w:r>
      <w:r w:rsidR="00BE1D1B" w:rsidRPr="001A6C57">
        <w:rPr>
          <w:b/>
        </w:rPr>
        <w:t>.</w:t>
      </w:r>
      <w:r w:rsidRPr="001A6C57">
        <w:rPr>
          <w:b/>
        </w:rPr>
        <w:t xml:space="preserve"> </w:t>
      </w:r>
      <w:r w:rsidRPr="001A6C57">
        <w:rPr>
          <w:b/>
          <w:bCs/>
        </w:rPr>
        <w:t xml:space="preserve">Hlášení musí obsahovat i název a  dobu konání festivalu a musí být doplněno i o  program či katalog promítaných filmů na festivalu. 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numPr>
          <w:ilvl w:val="0"/>
          <w:numId w:val="3"/>
        </w:numPr>
        <w:ind w:left="567" w:hanging="567"/>
        <w:jc w:val="both"/>
      </w:pPr>
      <w:r w:rsidRPr="001A6C57">
        <w:t>Provozovatel provozuje kina, příp. jiná místa promítání, která jsou uvedena v </w:t>
      </w:r>
      <w:r w:rsidRPr="001A6C57">
        <w:rPr>
          <w:b/>
          <w:bCs/>
          <w:i/>
          <w:iCs/>
        </w:rPr>
        <w:t xml:space="preserve">Příloze </w:t>
      </w:r>
      <w:r w:rsidRPr="001A6C57">
        <w:rPr>
          <w:b/>
          <w:bCs/>
          <w:i/>
          <w:iCs/>
        </w:rPr>
        <w:br/>
        <w:t xml:space="preserve">č. 1 </w:t>
      </w:r>
      <w:r w:rsidRPr="001A6C57">
        <w:t>této smlouvy.</w:t>
      </w:r>
      <w:r w:rsidR="00BE1D1B" w:rsidRPr="001A6C57">
        <w:t xml:space="preserve"> </w:t>
      </w:r>
      <w:r w:rsidR="00EB1B49" w:rsidRPr="001A6C57">
        <w:t>Za účelem aktualizace údajů zde uvedených, p</w:t>
      </w:r>
      <w:r w:rsidR="005A3039" w:rsidRPr="001A6C57">
        <w:t xml:space="preserve">okud </w:t>
      </w:r>
      <w:r w:rsidR="00BE1D1B" w:rsidRPr="001A6C57">
        <w:t xml:space="preserve">v době trvání této smlouvy </w:t>
      </w:r>
      <w:r w:rsidR="005A3039" w:rsidRPr="001A6C57">
        <w:t>provozovatel ukončí provozování v kině nebo jiném místě promítání, které je uvedeno v Př</w:t>
      </w:r>
      <w:r w:rsidR="00BE1D1B" w:rsidRPr="001A6C57">
        <w:t xml:space="preserve">íloze č. 1, </w:t>
      </w:r>
      <w:r w:rsidR="005A3039" w:rsidRPr="001A6C57">
        <w:t xml:space="preserve">nebo zahájí provozování v novém místě, zavazuje </w:t>
      </w:r>
      <w:r w:rsidR="00EB1B49" w:rsidRPr="001A6C57">
        <w:t xml:space="preserve">se </w:t>
      </w:r>
      <w:r w:rsidR="00BE1D1B" w:rsidRPr="001A6C57">
        <w:t xml:space="preserve">do patnácti </w:t>
      </w:r>
      <w:r w:rsidR="00BE1D1B" w:rsidRPr="001A6C57">
        <w:lastRenderedPageBreak/>
        <w:t>dní po změně oznámit OSA tuto skutečnost s uvedením data, ke kterému příslušná skutečnost nastala</w:t>
      </w:r>
      <w:r w:rsidR="00EB1B49" w:rsidRPr="001A6C57">
        <w:t>.</w:t>
      </w:r>
    </w:p>
    <w:p w:rsidR="001134BA" w:rsidRPr="001A6C57" w:rsidRDefault="001134BA" w:rsidP="00C35032">
      <w:pPr>
        <w:pStyle w:val="PlainText"/>
        <w:jc w:val="both"/>
        <w:rPr>
          <w:rFonts w:ascii="Times New Roman" w:hAnsi="Times New Roman"/>
          <w:b/>
          <w:sz w:val="24"/>
        </w:rPr>
      </w:pPr>
      <w:r w:rsidRPr="001A6C57">
        <w:rPr>
          <w:rFonts w:ascii="Times New Roman" w:hAnsi="Times New Roman"/>
          <w:b/>
          <w:sz w:val="24"/>
        </w:rPr>
        <w:t xml:space="preserve">                                                                  </w:t>
      </w:r>
      <w:r w:rsidR="00C35032">
        <w:rPr>
          <w:rFonts w:ascii="Times New Roman" w:hAnsi="Times New Roman"/>
          <w:b/>
          <w:sz w:val="24"/>
        </w:rPr>
        <w:t xml:space="preserve">    </w:t>
      </w:r>
      <w:r w:rsidRPr="001A6C57">
        <w:rPr>
          <w:rFonts w:ascii="Times New Roman" w:hAnsi="Times New Roman"/>
          <w:b/>
          <w:sz w:val="24"/>
        </w:rPr>
        <w:t>IV.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  <w:r w:rsidRPr="001A6C57">
        <w:rPr>
          <w:rFonts w:ascii="Times New Roman" w:hAnsi="Times New Roman"/>
          <w:b/>
          <w:sz w:val="24"/>
          <w:u w:val="single"/>
        </w:rPr>
        <w:t>Kontrola a povinnost mlčenlivosti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</w:p>
    <w:p w:rsidR="001134BA" w:rsidRPr="001A6C57" w:rsidRDefault="001134BA" w:rsidP="00656C38">
      <w:pPr>
        <w:pStyle w:val="PlainText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 xml:space="preserve">OSA má právo provést kontrolu údajů, jež je provozovatel povinen předkládat OSA. K provádění kontroly je oprávněn zaměstnanec OSA </w:t>
      </w:r>
      <w:r w:rsidR="007F132D" w:rsidRPr="001A6C57">
        <w:rPr>
          <w:rFonts w:ascii="Times New Roman" w:hAnsi="Times New Roman"/>
          <w:bCs/>
          <w:sz w:val="24"/>
        </w:rPr>
        <w:t xml:space="preserve">nebo třetí osoba </w:t>
      </w:r>
      <w:r w:rsidRPr="001A6C57">
        <w:rPr>
          <w:rFonts w:ascii="Times New Roman" w:hAnsi="Times New Roman"/>
          <w:bCs/>
          <w:sz w:val="24"/>
        </w:rPr>
        <w:t>vybavený písemným pověřením</w:t>
      </w:r>
      <w:r w:rsidR="007F132D" w:rsidRPr="001A6C57">
        <w:rPr>
          <w:rFonts w:ascii="Times New Roman" w:hAnsi="Times New Roman"/>
          <w:bCs/>
          <w:sz w:val="24"/>
        </w:rPr>
        <w:t xml:space="preserve"> či zmocněním statutárního orgánu OSA.</w:t>
      </w:r>
      <w:r w:rsidRPr="001A6C57">
        <w:rPr>
          <w:rFonts w:ascii="Times New Roman" w:hAnsi="Times New Roman"/>
          <w:bCs/>
          <w:sz w:val="24"/>
        </w:rPr>
        <w:t xml:space="preserve"> Provozovatel se zavazuje umožnit zaměstnancům provádějícím kontrolu přístup ke svým zařízením, předkládat jim všechny potřebné dokumenty, pokud se týkají předmětu této smlouvy, a v obecném smyslu neklást žádné překážky při plnění jejich úkolů.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bCs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4"/>
        </w:numPr>
        <w:ind w:left="567" w:hanging="567"/>
        <w:jc w:val="both"/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>Obě smluvní strany mají povinnost mlčenlivosti o všech údajích, které jim druhá smluvní strana poskytne v souladu s plněním povinností z této smlouvy. Nejsou oprávněny předat tyto údaje třetím osobám s výjimkou těchto případů:</w:t>
      </w:r>
    </w:p>
    <w:p w:rsidR="001134BA" w:rsidRPr="001A6C57" w:rsidRDefault="001134BA" w:rsidP="00656C38">
      <w:pPr>
        <w:pStyle w:val="PlainText"/>
        <w:numPr>
          <w:ilvl w:val="1"/>
          <w:numId w:val="4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 xml:space="preserve">pokud </w:t>
      </w:r>
      <w:r w:rsidR="00656C38" w:rsidRPr="001A6C57">
        <w:rPr>
          <w:rFonts w:ascii="Times New Roman" w:hAnsi="Times New Roman"/>
          <w:bCs/>
          <w:sz w:val="24"/>
        </w:rPr>
        <w:t xml:space="preserve"> </w:t>
      </w:r>
      <w:r w:rsidRPr="001A6C57">
        <w:rPr>
          <w:rFonts w:ascii="Times New Roman" w:hAnsi="Times New Roman"/>
          <w:bCs/>
          <w:sz w:val="24"/>
        </w:rPr>
        <w:t>jsou tyto údaje předmětem předchozího zveřejnění učiněného se souhlasem strany, které se týkají</w:t>
      </w:r>
    </w:p>
    <w:p w:rsidR="001134BA" w:rsidRPr="001A6C57" w:rsidRDefault="001134BA" w:rsidP="00656C38">
      <w:pPr>
        <w:pStyle w:val="PlainText"/>
        <w:numPr>
          <w:ilvl w:val="1"/>
          <w:numId w:val="4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 xml:space="preserve">pokud </w:t>
      </w:r>
      <w:r w:rsidR="00656C38" w:rsidRPr="001A6C57">
        <w:rPr>
          <w:rFonts w:ascii="Times New Roman" w:hAnsi="Times New Roman"/>
          <w:bCs/>
          <w:sz w:val="24"/>
        </w:rPr>
        <w:t xml:space="preserve"> </w:t>
      </w:r>
      <w:r w:rsidRPr="001A6C57">
        <w:rPr>
          <w:rFonts w:ascii="Times New Roman" w:hAnsi="Times New Roman"/>
          <w:bCs/>
          <w:sz w:val="24"/>
        </w:rPr>
        <w:t>bude poskytnutí těchto údajů nezbytné pro potřeby soudního řízení nebo řízení o zprostředkování,  nebo je-li povinnost poskytnout údaje uložena smluvním stranám obecně platnými právními předpisy</w:t>
      </w:r>
    </w:p>
    <w:p w:rsidR="001134BA" w:rsidRPr="001A6C57" w:rsidRDefault="001134BA" w:rsidP="00656C38">
      <w:pPr>
        <w:pStyle w:val="PlainText"/>
        <w:numPr>
          <w:ilvl w:val="1"/>
          <w:numId w:val="4"/>
        </w:numPr>
        <w:tabs>
          <w:tab w:val="clear" w:pos="144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</w:rPr>
      </w:pPr>
      <w:r w:rsidRPr="001A6C57">
        <w:rPr>
          <w:rFonts w:ascii="Times New Roman" w:hAnsi="Times New Roman"/>
          <w:bCs/>
          <w:sz w:val="24"/>
        </w:rPr>
        <w:t xml:space="preserve">pokud jsou tyto údaje předmětem jednání či posuzování v rámci profesních organizací sdružující provozovatele kin </w:t>
      </w:r>
    </w:p>
    <w:p w:rsidR="001134BA" w:rsidRPr="001A6C57" w:rsidRDefault="001134BA" w:rsidP="00656C38">
      <w:pPr>
        <w:pStyle w:val="PlainText"/>
        <w:tabs>
          <w:tab w:val="num" w:pos="1134"/>
        </w:tabs>
        <w:ind w:left="1134"/>
        <w:jc w:val="both"/>
        <w:rPr>
          <w:rFonts w:ascii="Times New Roman" w:hAnsi="Times New Roman"/>
          <w:bCs/>
          <w:sz w:val="24"/>
        </w:rPr>
      </w:pPr>
    </w:p>
    <w:p w:rsidR="001134BA" w:rsidRPr="001A6C57" w:rsidRDefault="001134BA" w:rsidP="00656C38">
      <w:pPr>
        <w:pStyle w:val="PlainText"/>
        <w:ind w:left="567" w:hanging="567"/>
        <w:jc w:val="center"/>
        <w:rPr>
          <w:rFonts w:ascii="Times New Roman" w:hAnsi="Times New Roman"/>
          <w:b/>
          <w:sz w:val="24"/>
        </w:rPr>
      </w:pPr>
      <w:r w:rsidRPr="001A6C57">
        <w:rPr>
          <w:rFonts w:ascii="Times New Roman" w:hAnsi="Times New Roman"/>
          <w:b/>
          <w:sz w:val="24"/>
        </w:rPr>
        <w:t>V.</w:t>
      </w:r>
    </w:p>
    <w:p w:rsidR="001134BA" w:rsidRPr="001A6C57" w:rsidRDefault="001134BA" w:rsidP="00656C38">
      <w:pPr>
        <w:pStyle w:val="PlainText"/>
        <w:ind w:left="567" w:hanging="567"/>
        <w:jc w:val="center"/>
        <w:rPr>
          <w:rFonts w:ascii="Times New Roman" w:hAnsi="Times New Roman"/>
          <w:b/>
          <w:sz w:val="24"/>
          <w:u w:val="single"/>
        </w:rPr>
      </w:pPr>
      <w:r w:rsidRPr="001A6C57">
        <w:rPr>
          <w:rFonts w:ascii="Times New Roman" w:hAnsi="Times New Roman"/>
          <w:b/>
          <w:sz w:val="24"/>
          <w:u w:val="single"/>
        </w:rPr>
        <w:t>Ostatní ujednání</w:t>
      </w:r>
    </w:p>
    <w:p w:rsidR="001134BA" w:rsidRPr="001A6C57" w:rsidRDefault="001134BA" w:rsidP="00656C38">
      <w:pPr>
        <w:pStyle w:val="PlainText"/>
        <w:ind w:left="567" w:hanging="567"/>
        <w:jc w:val="center"/>
        <w:rPr>
          <w:rFonts w:ascii="Times New Roman" w:hAnsi="Times New Roman"/>
          <w:b/>
          <w:sz w:val="24"/>
          <w:u w:val="single"/>
        </w:rPr>
      </w:pPr>
    </w:p>
    <w:p w:rsidR="001134BA" w:rsidRPr="001A6C57" w:rsidRDefault="001134BA" w:rsidP="00656C38">
      <w:pPr>
        <w:pStyle w:val="PlainText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 xml:space="preserve">Je-li provozovatel v prodlení s hlášením dle čl. III. odst. 1 déle než jeden kalendářní měsíc, je OSA oprávněn uplatnit smluvní pokutu ve výši 100,- Kč za každý další </w:t>
      </w:r>
      <w:r w:rsidR="007F132D" w:rsidRPr="001A6C57">
        <w:rPr>
          <w:rFonts w:ascii="Times New Roman" w:hAnsi="Times New Roman"/>
          <w:sz w:val="24"/>
        </w:rPr>
        <w:t xml:space="preserve">i započatý </w:t>
      </w:r>
      <w:r w:rsidRPr="001A6C57">
        <w:rPr>
          <w:rFonts w:ascii="Times New Roman" w:hAnsi="Times New Roman"/>
          <w:sz w:val="24"/>
        </w:rPr>
        <w:t>den prodlení.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Nadpis2"/>
        <w:numPr>
          <w:ilvl w:val="0"/>
          <w:numId w:val="5"/>
        </w:numPr>
        <w:ind w:left="567" w:hanging="567"/>
        <w:jc w:val="both"/>
        <w:rPr>
          <w:b w:val="0"/>
        </w:rPr>
      </w:pPr>
      <w:r w:rsidRPr="001A6C57">
        <w:rPr>
          <w:b w:val="0"/>
        </w:rPr>
        <w:t>Pokud provozovatel neuhradí odměnu za provozování audiovizuálních děl ve lhůt</w:t>
      </w:r>
      <w:r w:rsidR="00FF0417" w:rsidRPr="001A6C57">
        <w:rPr>
          <w:b w:val="0"/>
        </w:rPr>
        <w:t xml:space="preserve">ě stanovené v článku II. odst. </w:t>
      </w:r>
      <w:r w:rsidR="00BF3705" w:rsidRPr="001A6C57">
        <w:rPr>
          <w:b w:val="0"/>
        </w:rPr>
        <w:t>6</w:t>
      </w:r>
      <w:r w:rsidRPr="001A6C57">
        <w:rPr>
          <w:b w:val="0"/>
        </w:rPr>
        <w:t>, zavazuje se uhradit OSA úrok z prodlení dle platných právních předpisů.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</w:rPr>
      </w:pPr>
      <w:r w:rsidRPr="001A6C57">
        <w:rPr>
          <w:rFonts w:ascii="Times New Roman" w:hAnsi="Times New Roman"/>
          <w:b/>
          <w:sz w:val="24"/>
        </w:rPr>
        <w:t>VI.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  <w:r w:rsidRPr="001A6C57">
        <w:rPr>
          <w:rFonts w:ascii="Times New Roman" w:hAnsi="Times New Roman"/>
          <w:b/>
          <w:sz w:val="24"/>
          <w:u w:val="single"/>
        </w:rPr>
        <w:t>Doba trvání smlouvy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</w:p>
    <w:p w:rsidR="001134BA" w:rsidRPr="001A6C57" w:rsidRDefault="001134BA" w:rsidP="00656C38">
      <w:pPr>
        <w:pStyle w:val="PlainTex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 xml:space="preserve">Smlouva se uzavírá na dobu </w:t>
      </w:r>
      <w:r w:rsidR="006D74CB" w:rsidRPr="001A6C57">
        <w:rPr>
          <w:rFonts w:ascii="Times New Roman" w:hAnsi="Times New Roman"/>
          <w:sz w:val="24"/>
        </w:rPr>
        <w:t xml:space="preserve">určitou </w:t>
      </w:r>
      <w:r w:rsidR="006D74CB" w:rsidRPr="001A6C57">
        <w:rPr>
          <w:rFonts w:ascii="Times New Roman" w:hAnsi="Times New Roman"/>
          <w:b/>
          <w:sz w:val="24"/>
        </w:rPr>
        <w:t xml:space="preserve">do </w:t>
      </w:r>
      <w:r w:rsidR="00F76D44" w:rsidRPr="001A6C57">
        <w:rPr>
          <w:rFonts w:ascii="Times New Roman" w:hAnsi="Times New Roman"/>
          <w:b/>
          <w:sz w:val="24"/>
        </w:rPr>
        <w:t>31</w:t>
      </w:r>
      <w:r w:rsidR="00D87C27" w:rsidRPr="001A6C57">
        <w:rPr>
          <w:rFonts w:ascii="Times New Roman" w:hAnsi="Times New Roman"/>
          <w:b/>
          <w:sz w:val="24"/>
        </w:rPr>
        <w:t xml:space="preserve">. </w:t>
      </w:r>
      <w:r w:rsidR="007A2237" w:rsidRPr="001A6C57">
        <w:rPr>
          <w:rFonts w:ascii="Times New Roman" w:hAnsi="Times New Roman"/>
          <w:b/>
          <w:sz w:val="24"/>
        </w:rPr>
        <w:t>12. 201</w:t>
      </w:r>
      <w:r w:rsidR="00973156" w:rsidRPr="001A6C57">
        <w:rPr>
          <w:rFonts w:ascii="Times New Roman" w:hAnsi="Times New Roman"/>
          <w:b/>
          <w:sz w:val="24"/>
        </w:rPr>
        <w:t>0</w:t>
      </w:r>
      <w:r w:rsidR="00B05828" w:rsidRPr="001A6C57">
        <w:rPr>
          <w:rFonts w:ascii="Times New Roman" w:hAnsi="Times New Roman"/>
          <w:b/>
          <w:sz w:val="24"/>
        </w:rPr>
        <w:t>.</w:t>
      </w:r>
      <w:r w:rsidRPr="001A6C57">
        <w:rPr>
          <w:rFonts w:ascii="Times New Roman" w:hAnsi="Times New Roman"/>
          <w:sz w:val="24"/>
        </w:rPr>
        <w:t xml:space="preserve"> </w:t>
      </w:r>
    </w:p>
    <w:p w:rsidR="00E5616E" w:rsidRPr="001A6C57" w:rsidRDefault="00E5616E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E5616E" w:rsidRPr="001A6C57" w:rsidRDefault="00E5616E" w:rsidP="00656C38">
      <w:pPr>
        <w:pStyle w:val="PlainTex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6C57">
        <w:rPr>
          <w:rFonts w:ascii="Times New Roman" w:hAnsi="Times New Roman"/>
          <w:sz w:val="24"/>
          <w:szCs w:val="24"/>
        </w:rPr>
        <w:t xml:space="preserve">Ukončí-li provozovatel užití repertoáru OSA v průběhu kalendářního roku, může provozovatel smlouvu vypovědět. Výpověď musí být učiněna doporučeným dopisem a její účinky nastanou dnem ukončení užití. </w:t>
      </w:r>
    </w:p>
    <w:p w:rsidR="00E5616E" w:rsidRPr="001A6C57" w:rsidRDefault="00E5616E" w:rsidP="00656C38">
      <w:pPr>
        <w:pStyle w:val="PlainText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5616E" w:rsidRPr="001A6C57" w:rsidRDefault="00E5616E" w:rsidP="00656C38">
      <w:pPr>
        <w:pStyle w:val="PlainText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6C57">
        <w:rPr>
          <w:rFonts w:ascii="Times New Roman" w:hAnsi="Times New Roman"/>
          <w:sz w:val="24"/>
          <w:szCs w:val="24"/>
        </w:rPr>
        <w:t xml:space="preserve">OSA je oprávněn smlouvu vypovědět v případech závažného porušení závazků z této smlouvy druhou smluvní stranou, a to zejména, je-li provozovatel v opakovaném prodlení s peněžitým plněním, zasíláním hlášení podle čl. III. této smlouvy nebo překročí-li rozsah oprávnění stanovený v čl. I. této smlouvy. Výpověď je však OSA oprávněn učinit až poté, kdy provozovatele vyzval doporučeným dopisem k odstranění nedostatků plnění ve lhůtě jednoho měsíce od doručení této výzvy a provozovatel tyto nedostatky neodstranil. Výpověď musí mít formu doporučeného dopisu a její účinky nastanou dnem jejího doručení. </w:t>
      </w:r>
    </w:p>
    <w:p w:rsidR="00B165E3" w:rsidRDefault="007F132D" w:rsidP="001A6C57">
      <w:pPr>
        <w:pStyle w:val="Obsah-rove1"/>
        <w:numPr>
          <w:ilvl w:val="0"/>
          <w:numId w:val="0"/>
        </w:numPr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 xml:space="preserve"> </w:t>
      </w:r>
      <w:r w:rsidR="001A6C57">
        <w:rPr>
          <w:rFonts w:ascii="Times New Roman" w:hAnsi="Times New Roman"/>
          <w:sz w:val="24"/>
        </w:rPr>
        <w:t xml:space="preserve">                                                            </w:t>
      </w:r>
    </w:p>
    <w:p w:rsidR="001134BA" w:rsidRPr="001A6C57" w:rsidRDefault="00B165E3" w:rsidP="001A6C57">
      <w:pPr>
        <w:pStyle w:val="Obsah-rove1"/>
        <w:numPr>
          <w:ilvl w:val="0"/>
          <w:numId w:val="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</w:t>
      </w:r>
      <w:r w:rsidR="001A6C57">
        <w:rPr>
          <w:rFonts w:ascii="Times New Roman" w:hAnsi="Times New Roman"/>
          <w:sz w:val="24"/>
        </w:rPr>
        <w:t xml:space="preserve">   </w:t>
      </w:r>
      <w:r w:rsidR="00E5616E" w:rsidRPr="001A6C57">
        <w:rPr>
          <w:rFonts w:ascii="Times New Roman" w:hAnsi="Times New Roman"/>
          <w:sz w:val="24"/>
        </w:rPr>
        <w:t xml:space="preserve"> </w:t>
      </w:r>
      <w:r w:rsidR="001134BA" w:rsidRPr="001A6C57">
        <w:rPr>
          <w:rFonts w:ascii="Times New Roman" w:hAnsi="Times New Roman"/>
          <w:b/>
          <w:sz w:val="24"/>
        </w:rPr>
        <w:t>VII.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  <w:r w:rsidRPr="001A6C57">
        <w:rPr>
          <w:rFonts w:ascii="Times New Roman" w:hAnsi="Times New Roman"/>
          <w:b/>
          <w:sz w:val="24"/>
          <w:u w:val="single"/>
        </w:rPr>
        <w:t>Závěrečná ustanovení</w:t>
      </w:r>
    </w:p>
    <w:p w:rsidR="001134BA" w:rsidRPr="001A6C57" w:rsidRDefault="001134BA">
      <w:pPr>
        <w:pStyle w:val="PlainText"/>
        <w:jc w:val="center"/>
        <w:rPr>
          <w:rFonts w:ascii="Times New Roman" w:hAnsi="Times New Roman"/>
          <w:b/>
          <w:sz w:val="24"/>
          <w:u w:val="single"/>
        </w:rPr>
      </w:pPr>
    </w:p>
    <w:p w:rsidR="001134BA" w:rsidRPr="001A6C57" w:rsidRDefault="001134BA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Nestanoví-li smlouva jinak, řídí se obsah práv a povinností z ní vyplývajících příslušnými ustanoveními autorského zákona a občanského zákoníku.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Změny smlouvy je možno učinit pouze písemně formou číslovaných dodatků.</w:t>
      </w:r>
    </w:p>
    <w:p w:rsidR="00354480" w:rsidRPr="001A6C57" w:rsidRDefault="00354480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354480" w:rsidRPr="001A6C57" w:rsidRDefault="00354480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  <w:szCs w:val="24"/>
        </w:rPr>
        <w:t>Smluvní strany se zavazují jednat o změně této smlouvy v případě, že dojde ke změně platných právních předpisů, změně oprávnění vydaného OSA ze strany ministerstva kultury ČR nebo změně jiných skutečností, které mají podstatný vliv na tuto smlouvu, a tato smlouva by jim odporovala.</w:t>
      </w:r>
    </w:p>
    <w:p w:rsidR="00354480" w:rsidRPr="001A6C57" w:rsidRDefault="00354480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354480" w:rsidRPr="001A6C57" w:rsidRDefault="00354480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  <w:szCs w:val="24"/>
        </w:rPr>
        <w:t>Při prodeji podniku nabyvatele nebo jeho části se k přechodu licence vyžaduje souhlas OSA.  Přechod práv a povinností z licenční smlouvy na právního nástupce nabyvatele je možný jen se souhlasem OSA.</w:t>
      </w:r>
    </w:p>
    <w:p w:rsidR="00354480" w:rsidRPr="001A6C57" w:rsidRDefault="00354480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354480" w:rsidRPr="001A6C57" w:rsidRDefault="00354480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  <w:szCs w:val="24"/>
        </w:rPr>
        <w:t>Závazky vyplývající z této smlouvy přecházejí na případné právní nástupce smluvních stran.</w:t>
      </w:r>
    </w:p>
    <w:p w:rsidR="001134BA" w:rsidRPr="001A6C57" w:rsidRDefault="00354480" w:rsidP="00656C38">
      <w:pPr>
        <w:pStyle w:val="Obsah-rove1"/>
        <w:numPr>
          <w:ilvl w:val="0"/>
          <w:numId w:val="0"/>
        </w:numPr>
        <w:ind w:left="567" w:hanging="567"/>
      </w:pPr>
      <w:r w:rsidRPr="001A6C57">
        <w:t xml:space="preserve"> </w:t>
      </w:r>
    </w:p>
    <w:p w:rsidR="001134BA" w:rsidRPr="001A6C57" w:rsidRDefault="001134BA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Smluvní strany prohlašují, že jsou oprávněny k podpisu této smlouvy, že při jejím uzavření jednaly svobodně a vážně a smlouva tak vyjadřuje jejich pravou a svobodnou vůli.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656C38" w:rsidRPr="001A6C57" w:rsidRDefault="001134BA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 xml:space="preserve">Tato smlouva  je platná dnem podpisu oběma smluvními stranami a nabývá účinnosti </w:t>
      </w:r>
    </w:p>
    <w:p w:rsidR="002E4FEF" w:rsidRPr="001A6C57" w:rsidRDefault="00656C38" w:rsidP="00656C38">
      <w:pPr>
        <w:pStyle w:val="PlainText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 xml:space="preserve">          </w:t>
      </w:r>
      <w:r w:rsidR="001134BA" w:rsidRPr="001A6C57">
        <w:rPr>
          <w:rFonts w:ascii="Times New Roman" w:hAnsi="Times New Roman"/>
          <w:sz w:val="24"/>
        </w:rPr>
        <w:t xml:space="preserve">od </w:t>
      </w:r>
      <w:r w:rsidRPr="001A6C57">
        <w:rPr>
          <w:rFonts w:ascii="Times New Roman" w:hAnsi="Times New Roman"/>
          <w:sz w:val="24"/>
        </w:rPr>
        <w:t xml:space="preserve"> </w:t>
      </w:r>
      <w:r w:rsidR="002E4FEF" w:rsidRPr="001A6C57">
        <w:rPr>
          <w:rFonts w:ascii="Times New Roman" w:hAnsi="Times New Roman"/>
          <w:sz w:val="24"/>
        </w:rPr>
        <w:t>……………</w:t>
      </w:r>
      <w:r w:rsidR="006742DA" w:rsidRPr="001A6C57">
        <w:rPr>
          <w:rFonts w:ascii="Times New Roman" w:hAnsi="Times New Roman"/>
          <w:sz w:val="24"/>
        </w:rPr>
        <w:t xml:space="preserve"> 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Tato smlouva nahrazuje veškeré dříve uzavřené smlouvy mezi OSA a provozovatelem, jejichž předmětem bylo užití hudebních děl s textem i bez textu při promítání audiovizuálních děl v kinech.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 w:rsidP="00656C38">
      <w:pPr>
        <w:pStyle w:val="PlainText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</w:rPr>
      </w:pPr>
      <w:r w:rsidRPr="001A6C57">
        <w:rPr>
          <w:rFonts w:ascii="Times New Roman" w:hAnsi="Times New Roman"/>
          <w:sz w:val="24"/>
        </w:rPr>
        <w:t>Smlouva je sepsána ve dvou stejnopisech, každá smluvní strana obdrží jeden.</w:t>
      </w:r>
    </w:p>
    <w:p w:rsidR="001134BA" w:rsidRPr="001A6C57" w:rsidRDefault="001134BA" w:rsidP="00656C38">
      <w:pPr>
        <w:pStyle w:val="PlainText"/>
        <w:ind w:left="567" w:hanging="567"/>
        <w:jc w:val="both"/>
        <w:rPr>
          <w:rFonts w:ascii="Times New Roman" w:hAnsi="Times New Roman"/>
          <w:sz w:val="24"/>
        </w:rPr>
      </w:pPr>
    </w:p>
    <w:p w:rsidR="001134BA" w:rsidRPr="001A6C57" w:rsidRDefault="001134BA">
      <w:pPr>
        <w:jc w:val="both"/>
      </w:pPr>
    </w:p>
    <w:p w:rsidR="001134BA" w:rsidRPr="001A6C57" w:rsidRDefault="001134BA">
      <w:pPr>
        <w:jc w:val="both"/>
      </w:pPr>
      <w:r w:rsidRPr="001A6C57">
        <w:t>V Praze dne ..................</w:t>
      </w:r>
      <w:r w:rsidRPr="001A6C57">
        <w:tab/>
      </w:r>
      <w:r w:rsidRPr="001A6C57">
        <w:tab/>
      </w:r>
      <w:r w:rsidRPr="001A6C57">
        <w:tab/>
        <w:t xml:space="preserve">              V .....</w:t>
      </w:r>
      <w:r w:rsidR="00314518" w:rsidRPr="001A6C57">
        <w:t>........................</w:t>
      </w:r>
      <w:r w:rsidRPr="001A6C57">
        <w:t xml:space="preserve"> dne ................</w:t>
      </w:r>
      <w:r w:rsidR="00314518" w:rsidRPr="001A6C57">
        <w:t>.......</w:t>
      </w:r>
    </w:p>
    <w:p w:rsidR="001134BA" w:rsidRPr="001A6C57" w:rsidRDefault="001134BA">
      <w:pPr>
        <w:jc w:val="both"/>
      </w:pPr>
    </w:p>
    <w:p w:rsidR="001134BA" w:rsidRPr="001A6C57" w:rsidRDefault="001134BA">
      <w:pPr>
        <w:jc w:val="both"/>
      </w:pPr>
    </w:p>
    <w:p w:rsidR="001134BA" w:rsidRPr="001A6C57" w:rsidRDefault="001134BA">
      <w:pPr>
        <w:rPr>
          <w:sz w:val="20"/>
        </w:rPr>
      </w:pPr>
      <w:r w:rsidRPr="001A6C57">
        <w:t>.............</w:t>
      </w:r>
      <w:r w:rsidR="00314518" w:rsidRPr="001A6C57">
        <w:t>........................…………</w:t>
      </w:r>
      <w:r w:rsidR="00314518" w:rsidRPr="001A6C57">
        <w:tab/>
      </w:r>
      <w:r w:rsidR="00314518" w:rsidRPr="001A6C57">
        <w:tab/>
        <w:t xml:space="preserve">               ……………………………………….</w:t>
      </w:r>
    </w:p>
    <w:p w:rsidR="002C1111" w:rsidRDefault="001A6C57">
      <w:pPr>
        <w:pStyle w:val="PlainText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       </w:t>
      </w:r>
      <w:r w:rsidR="00F5692E" w:rsidRPr="001A6C57">
        <w:rPr>
          <w:rFonts w:ascii="Times New Roman" w:hAnsi="Times New Roman"/>
          <w:b/>
          <w:bCs/>
          <w:sz w:val="26"/>
        </w:rPr>
        <w:t xml:space="preserve">za OSA </w:t>
      </w:r>
      <w:r w:rsidR="00F5692E" w:rsidRPr="001A6C57">
        <w:rPr>
          <w:rFonts w:ascii="Times New Roman" w:hAnsi="Times New Roman"/>
          <w:b/>
          <w:bCs/>
          <w:sz w:val="26"/>
        </w:rPr>
        <w:tab/>
      </w:r>
      <w:r w:rsidR="00F5692E" w:rsidRPr="001A6C57">
        <w:rPr>
          <w:rFonts w:ascii="Times New Roman" w:hAnsi="Times New Roman"/>
          <w:b/>
          <w:bCs/>
          <w:sz w:val="26"/>
        </w:rPr>
        <w:tab/>
      </w:r>
      <w:r w:rsidR="00F5692E" w:rsidRPr="001A6C57">
        <w:rPr>
          <w:rFonts w:ascii="Times New Roman" w:hAnsi="Times New Roman"/>
          <w:b/>
          <w:bCs/>
          <w:sz w:val="26"/>
        </w:rPr>
        <w:tab/>
      </w:r>
      <w:r w:rsidR="00F5692E" w:rsidRPr="001A6C57">
        <w:rPr>
          <w:rFonts w:ascii="Times New Roman" w:hAnsi="Times New Roman"/>
          <w:b/>
          <w:bCs/>
          <w:sz w:val="26"/>
        </w:rPr>
        <w:tab/>
      </w:r>
      <w:r w:rsidR="00F5692E" w:rsidRPr="001A6C57">
        <w:rPr>
          <w:rFonts w:ascii="Times New Roman" w:hAnsi="Times New Roman"/>
          <w:b/>
          <w:bCs/>
          <w:sz w:val="26"/>
        </w:rPr>
        <w:tab/>
        <w:t xml:space="preserve"> </w:t>
      </w:r>
      <w:r w:rsidR="00F5692E" w:rsidRPr="001A6C57">
        <w:rPr>
          <w:rFonts w:ascii="Times New Roman" w:hAnsi="Times New Roman"/>
          <w:b/>
          <w:bCs/>
          <w:sz w:val="26"/>
        </w:rPr>
        <w:tab/>
        <w:t xml:space="preserve">   za provozovatele</w:t>
      </w: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C35032" w:rsidRPr="001A6C57" w:rsidRDefault="00C35032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656C38" w:rsidRPr="001A6C57" w:rsidRDefault="00656C38">
      <w:pPr>
        <w:pStyle w:val="PlainText"/>
        <w:jc w:val="both"/>
        <w:rPr>
          <w:rFonts w:ascii="Times New Roman" w:hAnsi="Times New Roman"/>
          <w:b/>
          <w:bCs/>
          <w:sz w:val="26"/>
        </w:rPr>
      </w:pPr>
    </w:p>
    <w:p w:rsidR="001134BA" w:rsidRPr="001A6C57" w:rsidRDefault="001134BA">
      <w:pPr>
        <w:pStyle w:val="PlainText"/>
        <w:jc w:val="both"/>
        <w:rPr>
          <w:rFonts w:ascii="Times New Roman" w:hAnsi="Times New Roman"/>
          <w:b/>
          <w:bCs/>
          <w:sz w:val="26"/>
        </w:rPr>
      </w:pPr>
      <w:r w:rsidRPr="001A6C57">
        <w:rPr>
          <w:rFonts w:ascii="Times New Roman" w:hAnsi="Times New Roman"/>
          <w:b/>
          <w:bCs/>
          <w:sz w:val="26"/>
        </w:rPr>
        <w:t>Příloha č. 1: Seznam kin provozovaných provozovatelem</w:t>
      </w:r>
    </w:p>
    <w:p w:rsidR="001134BA" w:rsidRPr="001A6C57" w:rsidRDefault="001134BA">
      <w:pPr>
        <w:pStyle w:val="PlainText"/>
        <w:jc w:val="both"/>
        <w:rPr>
          <w:rFonts w:ascii="Times New Roman" w:hAnsi="Times New Roman"/>
          <w:b/>
          <w:bCs/>
          <w:sz w:val="24"/>
        </w:rPr>
      </w:pPr>
    </w:p>
    <w:tbl>
      <w:tblPr>
        <w:tblW w:w="10620" w:type="dxa"/>
        <w:tblInd w:w="-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80"/>
        <w:gridCol w:w="2160"/>
        <w:gridCol w:w="1980"/>
        <w:gridCol w:w="720"/>
        <w:gridCol w:w="1800"/>
        <w:gridCol w:w="900"/>
        <w:gridCol w:w="1980"/>
      </w:tblGrid>
      <w:tr w:rsidR="001134BA" w:rsidRPr="001A6C57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pct30" w:color="FFFF00" w:fill="FFFFFF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A6C57">
              <w:rPr>
                <w:rFonts w:ascii="Times New Roman" w:hAnsi="Times New Roman"/>
              </w:rPr>
              <w:t>Číslo kina</w:t>
            </w:r>
          </w:p>
        </w:tc>
        <w:tc>
          <w:tcPr>
            <w:tcW w:w="2160" w:type="dxa"/>
            <w:shd w:val="pct30" w:color="FFFF00" w:fill="FFFFFF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A6C57">
              <w:rPr>
                <w:rFonts w:ascii="Times New Roman" w:hAnsi="Times New Roman"/>
              </w:rPr>
              <w:t>Název kina</w:t>
            </w:r>
          </w:p>
        </w:tc>
        <w:tc>
          <w:tcPr>
            <w:tcW w:w="1980" w:type="dxa"/>
            <w:shd w:val="pct30" w:color="FFFF00" w:fill="FFFFFF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A6C57">
              <w:rPr>
                <w:rFonts w:ascii="Times New Roman" w:hAnsi="Times New Roman"/>
              </w:rPr>
              <w:t>Ulice</w:t>
            </w:r>
          </w:p>
        </w:tc>
        <w:tc>
          <w:tcPr>
            <w:tcW w:w="720" w:type="dxa"/>
            <w:shd w:val="pct30" w:color="FFFF00" w:fill="FFFFFF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A6C57">
              <w:rPr>
                <w:rFonts w:ascii="Times New Roman" w:hAnsi="Times New Roman"/>
              </w:rPr>
              <w:t>PSČ</w:t>
            </w:r>
          </w:p>
        </w:tc>
        <w:tc>
          <w:tcPr>
            <w:tcW w:w="1800" w:type="dxa"/>
            <w:shd w:val="pct30" w:color="FFFF00" w:fill="FFFFFF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A6C57">
              <w:rPr>
                <w:rFonts w:ascii="Times New Roman" w:hAnsi="Times New Roman"/>
              </w:rPr>
              <w:t>Místo</w:t>
            </w:r>
          </w:p>
        </w:tc>
        <w:tc>
          <w:tcPr>
            <w:tcW w:w="900" w:type="dxa"/>
            <w:shd w:val="pct30" w:color="FFFF00" w:fill="FFFFFF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A6C57">
              <w:rPr>
                <w:rFonts w:ascii="Times New Roman" w:hAnsi="Times New Roman"/>
              </w:rPr>
              <w:t>Druh kina</w:t>
            </w:r>
          </w:p>
        </w:tc>
        <w:tc>
          <w:tcPr>
            <w:tcW w:w="1980" w:type="dxa"/>
            <w:shd w:val="pct30" w:color="FFFF00" w:fill="FFFFFF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A6C57">
              <w:rPr>
                <w:rFonts w:ascii="Times New Roman" w:hAnsi="Times New Roman"/>
              </w:rPr>
              <w:t>Kontakt</w:t>
            </w: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EF173A" w:rsidRPr="001A6C57" w:rsidRDefault="00EF173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134BA" w:rsidRPr="001A6C5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0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vAlign w:val="center"/>
          </w:tcPr>
          <w:p w:rsidR="001134BA" w:rsidRPr="001A6C57" w:rsidRDefault="001134BA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1134BA" w:rsidRPr="001A6C57" w:rsidRDefault="001134BA">
      <w:pPr>
        <w:pStyle w:val="PlainText"/>
        <w:jc w:val="both"/>
        <w:rPr>
          <w:rFonts w:ascii="Times New Roman" w:hAnsi="Times New Roman"/>
        </w:rPr>
      </w:pPr>
      <w:r w:rsidRPr="001A6C57">
        <w:rPr>
          <w:rFonts w:ascii="Times New Roman" w:hAnsi="Times New Roman"/>
        </w:rPr>
        <w:t xml:space="preserve"> </w:t>
      </w:r>
    </w:p>
    <w:p w:rsidR="001134BA" w:rsidRPr="001A6C57" w:rsidRDefault="001134BA">
      <w:pPr>
        <w:jc w:val="both"/>
      </w:pPr>
    </w:p>
    <w:p w:rsidR="001134BA" w:rsidRPr="001A6C57" w:rsidRDefault="001134BA">
      <w:pPr>
        <w:jc w:val="both"/>
      </w:pPr>
    </w:p>
    <w:p w:rsidR="001134BA" w:rsidRPr="001A6C57" w:rsidRDefault="001134BA">
      <w:r w:rsidRPr="001A6C57">
        <w:rPr>
          <w:sz w:val="22"/>
        </w:rPr>
        <w:t xml:space="preserve"> </w:t>
      </w:r>
    </w:p>
    <w:p w:rsidR="001134BA" w:rsidRPr="001A6C57" w:rsidRDefault="001134BA"/>
    <w:sectPr w:rsidR="001134BA" w:rsidRPr="001A6C57" w:rsidSect="00C35032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10" w:rsidRDefault="00FC0710">
      <w:r>
        <w:separator/>
      </w:r>
    </w:p>
  </w:endnote>
  <w:endnote w:type="continuationSeparator" w:id="0">
    <w:p w:rsidR="00FC0710" w:rsidRDefault="00FC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10" w:rsidRDefault="00FC0710">
      <w:r>
        <w:separator/>
      </w:r>
    </w:p>
  </w:footnote>
  <w:footnote w:type="continuationSeparator" w:id="0">
    <w:p w:rsidR="00FC0710" w:rsidRDefault="00FC0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56" w:rsidRDefault="00973156">
    <w:pPr>
      <w:pStyle w:val="Zhlav"/>
    </w:pPr>
    <w:r>
      <w:tab/>
    </w:r>
    <w:r>
      <w:tab/>
    </w:r>
    <w:r w:rsidR="00E94C8F">
      <w:rPr>
        <w:b/>
        <w:noProof/>
        <w:sz w:val="36"/>
      </w:rPr>
      <w:drawing>
        <wp:inline distT="0" distB="0" distL="0" distR="0">
          <wp:extent cx="278130" cy="447040"/>
          <wp:effectExtent l="19050" t="0" r="7620" b="0"/>
          <wp:docPr id="1" name="obrázek 1" descr="logo-cerne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rne-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57B"/>
    <w:multiLevelType w:val="hybridMultilevel"/>
    <w:tmpl w:val="D382B99C"/>
    <w:lvl w:ilvl="0" w:tplc="C26C3606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574E3"/>
    <w:multiLevelType w:val="hybridMultilevel"/>
    <w:tmpl w:val="08782684"/>
    <w:lvl w:ilvl="0" w:tplc="9D4CDAC4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E649E"/>
    <w:multiLevelType w:val="hybridMultilevel"/>
    <w:tmpl w:val="9CAC0622"/>
    <w:lvl w:ilvl="0" w:tplc="CB38B47A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2D16"/>
    <w:multiLevelType w:val="multilevel"/>
    <w:tmpl w:val="BB9CF294"/>
    <w:lvl w:ilvl="0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  <w:b w:val="0"/>
        <w:shadow w:val="0"/>
        <w:emboss w:val="0"/>
        <w:imprint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E3213CC"/>
    <w:multiLevelType w:val="hybridMultilevel"/>
    <w:tmpl w:val="70F86CF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3C41563"/>
    <w:multiLevelType w:val="multilevel"/>
    <w:tmpl w:val="6D04A106"/>
    <w:lvl w:ilvl="0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  <w:b w:val="0"/>
        <w:shadow w:val="0"/>
        <w:emboss w:val="0"/>
        <w:imprint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9CE4722"/>
    <w:multiLevelType w:val="hybridMultilevel"/>
    <w:tmpl w:val="7076BBF2"/>
    <w:lvl w:ilvl="0" w:tplc="C26C3606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93897"/>
    <w:multiLevelType w:val="hybridMultilevel"/>
    <w:tmpl w:val="2E946604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3082247"/>
    <w:multiLevelType w:val="hybridMultilevel"/>
    <w:tmpl w:val="68760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04403"/>
    <w:multiLevelType w:val="multilevel"/>
    <w:tmpl w:val="F2A4240A"/>
    <w:lvl w:ilvl="0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D7A6C"/>
    <w:multiLevelType w:val="multilevel"/>
    <w:tmpl w:val="D80A8196"/>
    <w:lvl w:ilvl="0">
      <w:start w:val="1"/>
      <w:numFmt w:val="upperRoman"/>
      <w:pStyle w:val="Nadpis1"/>
      <w:lvlText w:val="Článek 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Obsah-rove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pStyle w:val="Obsah-rove2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Roman"/>
      <w:pStyle w:val="Obsah-rove3"/>
      <w:lvlText w:val="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>
    <w:nsid w:val="5E04162C"/>
    <w:multiLevelType w:val="hybridMultilevel"/>
    <w:tmpl w:val="5EC2D694"/>
    <w:lvl w:ilvl="0" w:tplc="76E00F06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  <w:b w:val="0"/>
        <w:strike w:val="0"/>
        <w:shadow w:val="0"/>
        <w:emboss w:val="0"/>
        <w:imprint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BAA"/>
    <w:multiLevelType w:val="hybridMultilevel"/>
    <w:tmpl w:val="D6E82FAA"/>
    <w:lvl w:ilvl="0" w:tplc="DFF8ACFA">
      <w:start w:val="1"/>
      <w:numFmt w:val="decimal"/>
      <w:lvlText w:val="(%1)"/>
      <w:lvlJc w:val="left"/>
      <w:pPr>
        <w:tabs>
          <w:tab w:val="num" w:pos="540"/>
        </w:tabs>
        <w:ind w:left="0" w:firstLine="1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2287"/>
    <w:multiLevelType w:val="hybridMultilevel"/>
    <w:tmpl w:val="8746F6D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92"/>
    <w:rsid w:val="00014FFE"/>
    <w:rsid w:val="000215C8"/>
    <w:rsid w:val="000364AF"/>
    <w:rsid w:val="0006584F"/>
    <w:rsid w:val="0009062F"/>
    <w:rsid w:val="000908D2"/>
    <w:rsid w:val="000A56C8"/>
    <w:rsid w:val="000F1646"/>
    <w:rsid w:val="000F663C"/>
    <w:rsid w:val="001134BA"/>
    <w:rsid w:val="001403E9"/>
    <w:rsid w:val="001426EE"/>
    <w:rsid w:val="00160BFC"/>
    <w:rsid w:val="001A6C57"/>
    <w:rsid w:val="001A6E17"/>
    <w:rsid w:val="001F25AF"/>
    <w:rsid w:val="00201E89"/>
    <w:rsid w:val="0020481F"/>
    <w:rsid w:val="0021126D"/>
    <w:rsid w:val="00223C26"/>
    <w:rsid w:val="00280552"/>
    <w:rsid w:val="0028312A"/>
    <w:rsid w:val="00292023"/>
    <w:rsid w:val="002964F4"/>
    <w:rsid w:val="00297ADC"/>
    <w:rsid w:val="002C1111"/>
    <w:rsid w:val="002E4FEF"/>
    <w:rsid w:val="002E7DF8"/>
    <w:rsid w:val="00305E7D"/>
    <w:rsid w:val="00314518"/>
    <w:rsid w:val="0032447E"/>
    <w:rsid w:val="00335274"/>
    <w:rsid w:val="00342B01"/>
    <w:rsid w:val="00346F44"/>
    <w:rsid w:val="00354480"/>
    <w:rsid w:val="00367B7B"/>
    <w:rsid w:val="003D3F75"/>
    <w:rsid w:val="003E0965"/>
    <w:rsid w:val="00426B32"/>
    <w:rsid w:val="0045113D"/>
    <w:rsid w:val="004719A5"/>
    <w:rsid w:val="00475F57"/>
    <w:rsid w:val="00481BDA"/>
    <w:rsid w:val="00495334"/>
    <w:rsid w:val="00495971"/>
    <w:rsid w:val="004D253D"/>
    <w:rsid w:val="00533393"/>
    <w:rsid w:val="00573019"/>
    <w:rsid w:val="005A3039"/>
    <w:rsid w:val="00622603"/>
    <w:rsid w:val="00656C38"/>
    <w:rsid w:val="006649B2"/>
    <w:rsid w:val="00665651"/>
    <w:rsid w:val="00667F58"/>
    <w:rsid w:val="006742DA"/>
    <w:rsid w:val="00692A4C"/>
    <w:rsid w:val="006A44E8"/>
    <w:rsid w:val="006A63A2"/>
    <w:rsid w:val="006C5611"/>
    <w:rsid w:val="006D74CB"/>
    <w:rsid w:val="006E7896"/>
    <w:rsid w:val="00706181"/>
    <w:rsid w:val="00710BE1"/>
    <w:rsid w:val="007121C2"/>
    <w:rsid w:val="00713923"/>
    <w:rsid w:val="00721D31"/>
    <w:rsid w:val="007316E3"/>
    <w:rsid w:val="00760B46"/>
    <w:rsid w:val="00761B35"/>
    <w:rsid w:val="007710C3"/>
    <w:rsid w:val="007A2237"/>
    <w:rsid w:val="007A3198"/>
    <w:rsid w:val="007F132D"/>
    <w:rsid w:val="00806188"/>
    <w:rsid w:val="008130F1"/>
    <w:rsid w:val="00815765"/>
    <w:rsid w:val="00820AD1"/>
    <w:rsid w:val="008601A6"/>
    <w:rsid w:val="008D05C7"/>
    <w:rsid w:val="008E2B0C"/>
    <w:rsid w:val="00901AC0"/>
    <w:rsid w:val="0094299F"/>
    <w:rsid w:val="00950802"/>
    <w:rsid w:val="00952A15"/>
    <w:rsid w:val="00973156"/>
    <w:rsid w:val="00991167"/>
    <w:rsid w:val="0099587D"/>
    <w:rsid w:val="009A20BE"/>
    <w:rsid w:val="009B0D6C"/>
    <w:rsid w:val="009C720E"/>
    <w:rsid w:val="009C7E86"/>
    <w:rsid w:val="009E0D9F"/>
    <w:rsid w:val="009E7C2F"/>
    <w:rsid w:val="00A0450C"/>
    <w:rsid w:val="00A063E0"/>
    <w:rsid w:val="00A1260A"/>
    <w:rsid w:val="00A2060D"/>
    <w:rsid w:val="00A37792"/>
    <w:rsid w:val="00A74D2D"/>
    <w:rsid w:val="00A83DD0"/>
    <w:rsid w:val="00AA55CD"/>
    <w:rsid w:val="00AF3661"/>
    <w:rsid w:val="00B05828"/>
    <w:rsid w:val="00B10A5F"/>
    <w:rsid w:val="00B165E3"/>
    <w:rsid w:val="00B853A9"/>
    <w:rsid w:val="00BA46FB"/>
    <w:rsid w:val="00BB0E43"/>
    <w:rsid w:val="00BE1D1B"/>
    <w:rsid w:val="00BF31ED"/>
    <w:rsid w:val="00BF3705"/>
    <w:rsid w:val="00C02869"/>
    <w:rsid w:val="00C35032"/>
    <w:rsid w:val="00C4124A"/>
    <w:rsid w:val="00C42B67"/>
    <w:rsid w:val="00C53199"/>
    <w:rsid w:val="00C77B3E"/>
    <w:rsid w:val="00CB3D72"/>
    <w:rsid w:val="00CD315D"/>
    <w:rsid w:val="00D127FB"/>
    <w:rsid w:val="00D4125C"/>
    <w:rsid w:val="00D4447E"/>
    <w:rsid w:val="00D62E82"/>
    <w:rsid w:val="00D7083A"/>
    <w:rsid w:val="00D87C27"/>
    <w:rsid w:val="00DC292C"/>
    <w:rsid w:val="00DD1623"/>
    <w:rsid w:val="00E03CE0"/>
    <w:rsid w:val="00E34A99"/>
    <w:rsid w:val="00E4186B"/>
    <w:rsid w:val="00E5172D"/>
    <w:rsid w:val="00E5616E"/>
    <w:rsid w:val="00E635D2"/>
    <w:rsid w:val="00E72F61"/>
    <w:rsid w:val="00E80F9E"/>
    <w:rsid w:val="00E94C8F"/>
    <w:rsid w:val="00EB1B49"/>
    <w:rsid w:val="00EB7E49"/>
    <w:rsid w:val="00EF173A"/>
    <w:rsid w:val="00EF4DB2"/>
    <w:rsid w:val="00F077F1"/>
    <w:rsid w:val="00F27C09"/>
    <w:rsid w:val="00F42764"/>
    <w:rsid w:val="00F53EA9"/>
    <w:rsid w:val="00F5692E"/>
    <w:rsid w:val="00F70E6F"/>
    <w:rsid w:val="00F76D44"/>
    <w:rsid w:val="00F80FF6"/>
    <w:rsid w:val="00FB066A"/>
    <w:rsid w:val="00FB158C"/>
    <w:rsid w:val="00FB1FC4"/>
    <w:rsid w:val="00FC0710"/>
    <w:rsid w:val="00FC1B91"/>
    <w:rsid w:val="00FE3E78"/>
    <w:rsid w:val="00F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Obsah-rove1"/>
    <w:qFormat/>
    <w:rsid w:val="00E5616E"/>
    <w:pPr>
      <w:keepNext/>
      <w:numPr>
        <w:numId w:val="11"/>
      </w:numPr>
      <w:spacing w:before="240" w:after="120" w:line="288" w:lineRule="auto"/>
      <w:jc w:val="center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ind w:left="180" w:right="-21"/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lainText">
    <w:name w:val="Plain Text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20"/>
      <w:jc w:val="both"/>
    </w:pPr>
  </w:style>
  <w:style w:type="paragraph" w:styleId="Zkladntext2">
    <w:name w:val="Body Text 2"/>
    <w:basedOn w:val="Normln"/>
    <w:rPr>
      <w:b/>
      <w:szCs w:val="20"/>
    </w:rPr>
  </w:style>
  <w:style w:type="paragraph" w:styleId="Textbubliny">
    <w:name w:val="Balloon Text"/>
    <w:basedOn w:val="Normln"/>
    <w:semiHidden/>
    <w:rsid w:val="008130F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511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113D"/>
    <w:pPr>
      <w:tabs>
        <w:tab w:val="center" w:pos="4536"/>
        <w:tab w:val="right" w:pos="9072"/>
      </w:tabs>
    </w:pPr>
  </w:style>
  <w:style w:type="character" w:customStyle="1" w:styleId="tsubjname">
    <w:name w:val="tsubjname"/>
    <w:basedOn w:val="Standardnpsmoodstavce"/>
    <w:rsid w:val="006E7896"/>
  </w:style>
  <w:style w:type="paragraph" w:styleId="Rozvrendokumentu">
    <w:name w:val="Document Map"/>
    <w:basedOn w:val="Normln"/>
    <w:semiHidden/>
    <w:rsid w:val="005730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semiHidden/>
    <w:rsid w:val="00573019"/>
    <w:rPr>
      <w:sz w:val="16"/>
      <w:szCs w:val="16"/>
    </w:rPr>
  </w:style>
  <w:style w:type="paragraph" w:styleId="Textkomente">
    <w:name w:val="annotation text"/>
    <w:basedOn w:val="Normln"/>
    <w:semiHidden/>
    <w:rsid w:val="005730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73019"/>
    <w:rPr>
      <w:b/>
      <w:bCs/>
    </w:rPr>
  </w:style>
  <w:style w:type="paragraph" w:customStyle="1" w:styleId="Obsah-rove1">
    <w:name w:val="Obsah - úroveň 1"/>
    <w:basedOn w:val="Normln"/>
    <w:rsid w:val="00E5616E"/>
    <w:pPr>
      <w:numPr>
        <w:ilvl w:val="1"/>
        <w:numId w:val="11"/>
      </w:numPr>
      <w:spacing w:after="120" w:line="288" w:lineRule="auto"/>
      <w:jc w:val="both"/>
    </w:pPr>
    <w:rPr>
      <w:rFonts w:ascii="Arial" w:hAnsi="Arial"/>
      <w:sz w:val="20"/>
    </w:rPr>
  </w:style>
  <w:style w:type="paragraph" w:customStyle="1" w:styleId="Obsah-rove2">
    <w:name w:val="Obsah - úroveň 2"/>
    <w:basedOn w:val="Normln"/>
    <w:rsid w:val="00E5616E"/>
    <w:pPr>
      <w:numPr>
        <w:ilvl w:val="2"/>
        <w:numId w:val="11"/>
      </w:numPr>
      <w:spacing w:after="120" w:line="288" w:lineRule="auto"/>
      <w:jc w:val="both"/>
    </w:pPr>
    <w:rPr>
      <w:rFonts w:ascii="Arial" w:hAnsi="Arial"/>
      <w:sz w:val="20"/>
    </w:rPr>
  </w:style>
  <w:style w:type="paragraph" w:customStyle="1" w:styleId="Obsah-rove3">
    <w:name w:val="Obsah - úroveň 3"/>
    <w:basedOn w:val="Normln"/>
    <w:rsid w:val="00E5616E"/>
    <w:pPr>
      <w:numPr>
        <w:ilvl w:val="3"/>
        <w:numId w:val="11"/>
      </w:numPr>
      <w:spacing w:after="120" w:line="288" w:lineRule="auto"/>
      <w:jc w:val="both"/>
    </w:pPr>
    <w:rPr>
      <w:rFonts w:ascii="Arial" w:hAnsi="Arial"/>
      <w:noProof/>
      <w:sz w:val="20"/>
    </w:rPr>
  </w:style>
  <w:style w:type="paragraph" w:styleId="Odstavecseseznamem">
    <w:name w:val="List Paragraph"/>
    <w:basedOn w:val="Normln"/>
    <w:uiPriority w:val="34"/>
    <w:qFormat/>
    <w:rsid w:val="00656C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1868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OSA - Ochranný svaz autorský pro práva k dílům hudebním</vt:lpstr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 - Ochranný svaz autorský pro práva k dílům hudebním</dc:title>
  <dc:creator>JUDr. Vladimír Kroupa</dc:creator>
  <cp:lastModifiedBy>Léňa</cp:lastModifiedBy>
  <cp:revision>2</cp:revision>
  <cp:lastPrinted>2010-06-28T08:30:00Z</cp:lastPrinted>
  <dcterms:created xsi:type="dcterms:W3CDTF">2010-08-27T12:10:00Z</dcterms:created>
  <dcterms:modified xsi:type="dcterms:W3CDTF">2010-08-27T12:10:00Z</dcterms:modified>
</cp:coreProperties>
</file>